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9802" w14:textId="504A33B1" w:rsidR="21EDBA4C" w:rsidRDefault="21EDBA4C" w:rsidP="1E858E4A">
      <w:pPr>
        <w:jc w:val="center"/>
        <w:rPr>
          <w:b/>
          <w:bCs/>
          <w:sz w:val="28"/>
          <w:szCs w:val="28"/>
        </w:rPr>
      </w:pPr>
      <w:r w:rsidRPr="1E858E4A">
        <w:rPr>
          <w:b/>
          <w:bCs/>
          <w:sz w:val="28"/>
          <w:szCs w:val="28"/>
        </w:rPr>
        <w:t>College of Alameda Curriculum Committee</w:t>
      </w:r>
    </w:p>
    <w:p w14:paraId="133C3863" w14:textId="673DD2A1" w:rsidR="21EDBA4C" w:rsidRDefault="21EDBA4C" w:rsidP="1E858E4A">
      <w:pPr>
        <w:jc w:val="center"/>
        <w:rPr>
          <w:sz w:val="32"/>
          <w:szCs w:val="32"/>
        </w:rPr>
      </w:pPr>
      <w:r w:rsidRPr="5BC264DD">
        <w:rPr>
          <w:sz w:val="32"/>
          <w:szCs w:val="32"/>
        </w:rPr>
        <w:t xml:space="preserve">Resolution on </w:t>
      </w:r>
      <w:r w:rsidR="0F8B2578" w:rsidRPr="5BC264DD">
        <w:rPr>
          <w:sz w:val="32"/>
          <w:szCs w:val="32"/>
        </w:rPr>
        <w:t xml:space="preserve">faculty </w:t>
      </w:r>
      <w:r w:rsidRPr="5BC264DD">
        <w:rPr>
          <w:sz w:val="32"/>
          <w:szCs w:val="32"/>
        </w:rPr>
        <w:t>relationship with contract education course and program development</w:t>
      </w:r>
    </w:p>
    <w:p w14:paraId="2C078E63" w14:textId="59174A8C" w:rsidR="00D20FEA" w:rsidRDefault="1BBE44B8">
      <w:r w:rsidRPr="5BC264DD">
        <w:rPr>
          <w:b/>
          <w:bCs/>
        </w:rPr>
        <w:t xml:space="preserve">Whereas </w:t>
      </w:r>
      <w:r>
        <w:t>the College of Alameda Curriculum Committee, a subcommittee of the Academic Senate</w:t>
      </w:r>
      <w:r w:rsidR="579EC5F3">
        <w:t>,</w:t>
      </w:r>
      <w:r>
        <w:t xml:space="preserve"> acknowledge</w:t>
      </w:r>
      <w:r w:rsidR="5DE3392B">
        <w:t>s</w:t>
      </w:r>
      <w:r>
        <w:t xml:space="preserve"> and support</w:t>
      </w:r>
      <w:r w:rsidR="77D7AA5A">
        <w:t>s</w:t>
      </w:r>
      <w:r>
        <w:t xml:space="preserve"> the continued </w:t>
      </w:r>
      <w:r w:rsidR="0EF8EA0D">
        <w:t>commitment</w:t>
      </w:r>
      <w:r>
        <w:t xml:space="preserve"> to contract </w:t>
      </w:r>
      <w:r w:rsidR="79A8367A">
        <w:t xml:space="preserve">education </w:t>
      </w:r>
      <w:proofErr w:type="gramStart"/>
      <w:r w:rsidR="79A8367A">
        <w:t>partnerships</w:t>
      </w:r>
      <w:r w:rsidR="78ED0113">
        <w:t>;</w:t>
      </w:r>
      <w:proofErr w:type="gramEnd"/>
    </w:p>
    <w:p w14:paraId="79AC2F3E" w14:textId="2C09620B" w:rsidR="7CB6AF55" w:rsidRDefault="7CB6AF55" w:rsidP="477C3C69">
      <w:r>
        <w:t>And</w:t>
      </w:r>
    </w:p>
    <w:p w14:paraId="01856A12" w14:textId="0E5102E2" w:rsidR="6F0B29F0" w:rsidRDefault="6F0B29F0" w:rsidP="477C3C69">
      <w:r w:rsidRPr="5BC264DD">
        <w:rPr>
          <w:b/>
          <w:bCs/>
        </w:rPr>
        <w:t xml:space="preserve">Whereas </w:t>
      </w:r>
      <w:r>
        <w:t>the Curriculum Committee respects and values the work of the district Office of International Services</w:t>
      </w:r>
      <w:r w:rsidR="3B379B42">
        <w:t>, ASAA,</w:t>
      </w:r>
      <w:r w:rsidR="77AFD993">
        <w:t xml:space="preserve"> and local </w:t>
      </w:r>
      <w:proofErr w:type="gramStart"/>
      <w:r w:rsidR="77AFD993">
        <w:t>partners;</w:t>
      </w:r>
      <w:proofErr w:type="gramEnd"/>
    </w:p>
    <w:p w14:paraId="2BD0C9BD" w14:textId="294E5175" w:rsidR="6F0B29F0" w:rsidRDefault="6F0B29F0" w:rsidP="477C3C69">
      <w:r>
        <w:t>And</w:t>
      </w:r>
    </w:p>
    <w:p w14:paraId="5CEAC3F1" w14:textId="03DAF7C6" w:rsidR="0D86B3DD" w:rsidRDefault="0D86B3DD" w:rsidP="477C3C69">
      <w:r w:rsidRPr="5BC264DD">
        <w:rPr>
          <w:b/>
          <w:bCs/>
        </w:rPr>
        <w:t xml:space="preserve">Whereas </w:t>
      </w:r>
      <w:r>
        <w:t xml:space="preserve">the Curriculum Committee is committed to shared governance in all aspects of campus and district </w:t>
      </w:r>
      <w:proofErr w:type="gramStart"/>
      <w:r>
        <w:t>decision-making</w:t>
      </w:r>
      <w:r w:rsidR="6FB73EA1">
        <w:t>;</w:t>
      </w:r>
      <w:proofErr w:type="gramEnd"/>
    </w:p>
    <w:p w14:paraId="680C2CC5" w14:textId="5D389580" w:rsidR="0D86B3DD" w:rsidRDefault="0D86B3DD" w:rsidP="477C3C69">
      <w:r>
        <w:t>And</w:t>
      </w:r>
    </w:p>
    <w:p w14:paraId="3E60B91E" w14:textId="06C044EF" w:rsidR="0D86B3DD" w:rsidRDefault="0D86B3DD" w:rsidP="477C3C69">
      <w:r w:rsidRPr="5BC264DD">
        <w:rPr>
          <w:b/>
          <w:bCs/>
        </w:rPr>
        <w:t xml:space="preserve">Whereas </w:t>
      </w:r>
      <w:r>
        <w:t xml:space="preserve">the Curriculum Committee recognizes that management has the ultimate right of scheduling classes and faculty </w:t>
      </w:r>
      <w:proofErr w:type="gramStart"/>
      <w:r>
        <w:t>assignment</w:t>
      </w:r>
      <w:r w:rsidR="2826502C">
        <w:t>;</w:t>
      </w:r>
      <w:proofErr w:type="gramEnd"/>
    </w:p>
    <w:p w14:paraId="3AE77376" w14:textId="46A5C4B1" w:rsidR="0D86B3DD" w:rsidRDefault="0D86B3DD" w:rsidP="477C3C69">
      <w:r>
        <w:t>And</w:t>
      </w:r>
    </w:p>
    <w:p w14:paraId="48D07D48" w14:textId="054E2AEF" w:rsidR="3CAF3F65" w:rsidRDefault="3CAF3F65" w:rsidP="477C3C69">
      <w:r w:rsidRPr="5BC264DD">
        <w:rPr>
          <w:b/>
          <w:bCs/>
        </w:rPr>
        <w:t xml:space="preserve">Whereas </w:t>
      </w:r>
      <w:r>
        <w:t xml:space="preserve">the Curriculum Committee recognizes that faculty have the right to refuse any </w:t>
      </w:r>
      <w:proofErr w:type="gramStart"/>
      <w:r>
        <w:t>assignment</w:t>
      </w:r>
      <w:r w:rsidR="26D30881">
        <w:t>;</w:t>
      </w:r>
      <w:proofErr w:type="gramEnd"/>
    </w:p>
    <w:p w14:paraId="4A13C3D1" w14:textId="6739EDF4" w:rsidR="3CAF3F65" w:rsidRDefault="3CAF3F65" w:rsidP="477C3C69">
      <w:r>
        <w:t>And</w:t>
      </w:r>
    </w:p>
    <w:p w14:paraId="27C7754D" w14:textId="0E285BAB" w:rsidR="7CB6AF55" w:rsidRDefault="7CB6AF55" w:rsidP="477C3C69">
      <w:r w:rsidRPr="5BC264DD">
        <w:rPr>
          <w:b/>
          <w:bCs/>
        </w:rPr>
        <w:t xml:space="preserve">Whereas </w:t>
      </w:r>
      <w:r>
        <w:t xml:space="preserve">the Curriculum Committee holds responsibility for approval of College of Alameda course and program </w:t>
      </w:r>
      <w:proofErr w:type="gramStart"/>
      <w:r>
        <w:t>development</w:t>
      </w:r>
      <w:r w:rsidR="07CFB750">
        <w:t>;</w:t>
      </w:r>
      <w:proofErr w:type="gramEnd"/>
    </w:p>
    <w:p w14:paraId="2192292C" w14:textId="3C3DE5A9" w:rsidR="7CB6AF55" w:rsidRDefault="7CB6AF55" w:rsidP="477C3C69">
      <w:r>
        <w:t>And</w:t>
      </w:r>
    </w:p>
    <w:p w14:paraId="6B11D297" w14:textId="041090B1" w:rsidR="7CB6AF55" w:rsidRDefault="7CB6AF55" w:rsidP="477C3C69">
      <w:r w:rsidRPr="5BC264DD">
        <w:rPr>
          <w:b/>
          <w:bCs/>
        </w:rPr>
        <w:t xml:space="preserve">Whereas </w:t>
      </w:r>
      <w:r>
        <w:t>the Curriculum Committee holds responsibi</w:t>
      </w:r>
      <w:r w:rsidR="31F4BE62">
        <w:t xml:space="preserve">lity for approval of </w:t>
      </w:r>
      <w:r w:rsidR="35C3FFAA">
        <w:t xml:space="preserve">appropriate </w:t>
      </w:r>
      <w:r w:rsidR="31F4BE62">
        <w:t xml:space="preserve">course </w:t>
      </w:r>
      <w:r w:rsidR="52E55399">
        <w:t xml:space="preserve">duration </w:t>
      </w:r>
      <w:r w:rsidR="11A86B5D">
        <w:t xml:space="preserve">and </w:t>
      </w:r>
      <w:r w:rsidR="31F4BE62">
        <w:t xml:space="preserve">modality through the </w:t>
      </w:r>
      <w:r w:rsidR="3AEB1D48">
        <w:t xml:space="preserve">Course Outline of </w:t>
      </w:r>
      <w:proofErr w:type="gramStart"/>
      <w:r w:rsidR="3AEB1D48">
        <w:t>Record</w:t>
      </w:r>
      <w:r w:rsidR="3F38F2D8">
        <w:t>;</w:t>
      </w:r>
      <w:proofErr w:type="gramEnd"/>
    </w:p>
    <w:p w14:paraId="32A1DC6E" w14:textId="1D8C9123" w:rsidR="0D0281BB" w:rsidRDefault="0D0281BB" w:rsidP="1E858E4A">
      <w:pPr>
        <w:rPr>
          <w:b/>
          <w:bCs/>
        </w:rPr>
      </w:pPr>
      <w:r w:rsidRPr="1E858E4A">
        <w:rPr>
          <w:b/>
          <w:bCs/>
        </w:rPr>
        <w:t>Be it hereby resolved</w:t>
      </w:r>
      <w:r w:rsidR="5E9C63DC" w:rsidRPr="1E858E4A">
        <w:rPr>
          <w:b/>
          <w:bCs/>
        </w:rPr>
        <w:t>,</w:t>
      </w:r>
    </w:p>
    <w:p w14:paraId="7B1FB48C" w14:textId="52253A77" w:rsidR="0D0281BB" w:rsidRDefault="5E9C63DC" w:rsidP="1E858E4A">
      <w:pPr>
        <w:rPr>
          <w:b/>
          <w:bCs/>
        </w:rPr>
      </w:pPr>
      <w:r w:rsidRPr="5BC264DD">
        <w:rPr>
          <w:b/>
          <w:bCs/>
        </w:rPr>
        <w:t>T</w:t>
      </w:r>
      <w:r w:rsidR="0D0281BB" w:rsidRPr="5BC264DD">
        <w:rPr>
          <w:b/>
          <w:bCs/>
        </w:rPr>
        <w:t>hat</w:t>
      </w:r>
      <w:r w:rsidRPr="5BC264DD">
        <w:rPr>
          <w:b/>
          <w:bCs/>
        </w:rPr>
        <w:t xml:space="preserve"> </w:t>
      </w:r>
      <w:r w:rsidR="7018B52E">
        <w:t>t</w:t>
      </w:r>
      <w:r w:rsidR="0D0281BB">
        <w:t>he College of Alameda Curriculum Committee, through committee member</w:t>
      </w:r>
      <w:r w:rsidR="4ABB74DC">
        <w:t>(s)</w:t>
      </w:r>
      <w:r w:rsidR="0D0281BB">
        <w:t xml:space="preserve"> or </w:t>
      </w:r>
      <w:r w:rsidR="7477952A">
        <w:t xml:space="preserve">other </w:t>
      </w:r>
      <w:r w:rsidR="0D0281BB">
        <w:t>faculty designee</w:t>
      </w:r>
      <w:r w:rsidR="33CA02BD">
        <w:t>(s)</w:t>
      </w:r>
      <w:r w:rsidR="0D0281BB">
        <w:t>, be inc</w:t>
      </w:r>
      <w:r w:rsidR="01BABAFB">
        <w:t xml:space="preserve">luded in all programmatic and course delivery conversations and </w:t>
      </w:r>
      <w:r w:rsidR="5D5CCCCC">
        <w:t xml:space="preserve">decisions </w:t>
      </w:r>
      <w:r w:rsidR="6F7C6078">
        <w:t xml:space="preserve">with our contract education partners locally and abroad </w:t>
      </w:r>
      <w:r w:rsidR="657864E7">
        <w:t>in accordance with</w:t>
      </w:r>
      <w:r w:rsidR="5D5CCCCC">
        <w:t xml:space="preserve"> </w:t>
      </w:r>
      <w:r w:rsidR="331C7A5C">
        <w:t xml:space="preserve">Title 5 </w:t>
      </w:r>
      <w:r w:rsidR="331C7A5C" w:rsidRPr="5BC264DD">
        <w:rPr>
          <w:rFonts w:ascii="Lato" w:eastAsia="Lato" w:hAnsi="Lato" w:cs="Lato"/>
          <w:color w:val="0A0A0A"/>
        </w:rPr>
        <w:t>§ 53200 (b)</w:t>
      </w:r>
      <w:r w:rsidR="331C7A5C" w:rsidRPr="5BC264DD">
        <w:rPr>
          <w:rFonts w:ascii="Aptos" w:eastAsia="Aptos" w:hAnsi="Aptos" w:cs="Aptos"/>
        </w:rPr>
        <w:t xml:space="preserve"> and </w:t>
      </w:r>
      <w:r w:rsidR="331C7A5C" w:rsidRPr="5BC264DD">
        <w:rPr>
          <w:rFonts w:ascii="Lato" w:eastAsia="Lato" w:hAnsi="Lato" w:cs="Lato"/>
          <w:color w:val="0A0A0A"/>
        </w:rPr>
        <w:t>53200 (c)</w:t>
      </w:r>
      <w:r w:rsidR="331C7A5C" w:rsidRPr="5BC264DD">
        <w:rPr>
          <w:rFonts w:ascii="Aptos" w:eastAsia="Aptos" w:hAnsi="Aptos" w:cs="Aptos"/>
        </w:rPr>
        <w:t xml:space="preserve"> </w:t>
      </w:r>
      <w:r w:rsidR="421BAA9F" w:rsidRPr="5BC264DD">
        <w:rPr>
          <w:rFonts w:ascii="Aptos" w:eastAsia="Aptos" w:hAnsi="Aptos" w:cs="Aptos"/>
        </w:rPr>
        <w:t>(</w:t>
      </w:r>
      <w:r w:rsidR="331C7A5C" w:rsidRPr="5BC264DD">
        <w:rPr>
          <w:rFonts w:ascii="Aptos" w:eastAsia="Aptos" w:hAnsi="Aptos" w:cs="Aptos"/>
        </w:rPr>
        <w:t xml:space="preserve">ASCCC </w:t>
      </w:r>
      <w:r w:rsidR="50861B12" w:rsidRPr="5BC264DD">
        <w:rPr>
          <w:rFonts w:ascii="Aptos" w:eastAsia="Aptos" w:hAnsi="Aptos" w:cs="Aptos"/>
        </w:rPr>
        <w:t xml:space="preserve">10+1 </w:t>
      </w:r>
      <w:r w:rsidR="5D5CCCCC">
        <w:t xml:space="preserve">numbers 1- </w:t>
      </w:r>
      <w:r w:rsidR="0625F24F">
        <w:t>6</w:t>
      </w:r>
      <w:r w:rsidR="2115F0E0">
        <w:t xml:space="preserve"> below</w:t>
      </w:r>
      <w:proofErr w:type="gramStart"/>
      <w:r w:rsidR="2115F0E0">
        <w:t>)</w:t>
      </w:r>
      <w:r w:rsidR="29FF3726">
        <w:t>;</w:t>
      </w:r>
      <w:proofErr w:type="gramEnd"/>
    </w:p>
    <w:p w14:paraId="2F798971" w14:textId="42C39CA1" w:rsidR="22749FBA" w:rsidRDefault="22749FBA" w:rsidP="1E858E4A">
      <w:r w:rsidRPr="5BC264DD">
        <w:rPr>
          <w:b/>
          <w:bCs/>
        </w:rPr>
        <w:lastRenderedPageBreak/>
        <w:t>That</w:t>
      </w:r>
      <w:r>
        <w:t xml:space="preserve"> College of Alameda faculty </w:t>
      </w:r>
      <w:r w:rsidR="3CDC32AA">
        <w:t>be</w:t>
      </w:r>
      <w:r>
        <w:t xml:space="preserve"> included in any General Education or Transfer Agreement Program </w:t>
      </w:r>
      <w:r w:rsidR="50917668">
        <w:t xml:space="preserve">discussion and/or adoption </w:t>
      </w:r>
      <w:r w:rsidR="77C14D40">
        <w:t>being required by</w:t>
      </w:r>
      <w:r w:rsidR="5DB0696E">
        <w:t xml:space="preserve"> contract education </w:t>
      </w:r>
      <w:proofErr w:type="gramStart"/>
      <w:r w:rsidR="5DB0696E">
        <w:t>partners</w:t>
      </w:r>
      <w:r w:rsidR="0472B2B7">
        <w:t>;</w:t>
      </w:r>
      <w:proofErr w:type="gramEnd"/>
    </w:p>
    <w:p w14:paraId="421775A2" w14:textId="3D2E1A8F" w:rsidR="30EBCAE4" w:rsidRDefault="30EBCAE4" w:rsidP="1E858E4A">
      <w:r w:rsidRPr="5BC264DD">
        <w:rPr>
          <w:b/>
          <w:bCs/>
        </w:rPr>
        <w:t>T</w:t>
      </w:r>
      <w:r w:rsidR="7F10DCB5" w:rsidRPr="5BC264DD">
        <w:rPr>
          <w:b/>
          <w:bCs/>
        </w:rPr>
        <w:t>hat</w:t>
      </w:r>
      <w:r w:rsidRPr="5BC264DD">
        <w:rPr>
          <w:b/>
          <w:bCs/>
        </w:rPr>
        <w:t xml:space="preserve"> </w:t>
      </w:r>
      <w:r>
        <w:t>program</w:t>
      </w:r>
      <w:r w:rsidR="3DDEECE3">
        <w:t>s</w:t>
      </w:r>
      <w:r>
        <w:t xml:space="preserve"> developed w</w:t>
      </w:r>
      <w:r w:rsidR="6E4F3257">
        <w:t>ith</w:t>
      </w:r>
      <w:r>
        <w:t xml:space="preserve"> College of Alameda courses be adopted </w:t>
      </w:r>
      <w:r w:rsidR="452AF3A8">
        <w:t>through</w:t>
      </w:r>
      <w:r>
        <w:t xml:space="preserve"> consultation </w:t>
      </w:r>
      <w:r w:rsidR="3E63C9E7">
        <w:t xml:space="preserve">with </w:t>
      </w:r>
      <w:r w:rsidR="4F8BC3B4">
        <w:t xml:space="preserve">Curriculum Committee-appointed </w:t>
      </w:r>
      <w:r>
        <w:t>faculty advisors and the Chair o</w:t>
      </w:r>
      <w:r w:rsidR="5122EB1B">
        <w:t>r</w:t>
      </w:r>
      <w:r>
        <w:t xml:space="preserve"> lead faculty </w:t>
      </w:r>
      <w:r w:rsidR="6B92F04D">
        <w:t xml:space="preserve">for </w:t>
      </w:r>
      <w:r>
        <w:t>the</w:t>
      </w:r>
      <w:r w:rsidR="686C97C5">
        <w:t xml:space="preserve"> </w:t>
      </w:r>
      <w:proofErr w:type="gramStart"/>
      <w:r w:rsidR="686C97C5">
        <w:t>discipline</w:t>
      </w:r>
      <w:r w:rsidR="4265A4C4">
        <w:t>;</w:t>
      </w:r>
      <w:proofErr w:type="gramEnd"/>
    </w:p>
    <w:p w14:paraId="32E23228" w14:textId="3FDD614B" w:rsidR="0209E309" w:rsidRDefault="0209E309" w:rsidP="1E858E4A">
      <w:r w:rsidRPr="5BC264DD">
        <w:rPr>
          <w:b/>
          <w:bCs/>
        </w:rPr>
        <w:t xml:space="preserve">That </w:t>
      </w:r>
      <w:r>
        <w:t xml:space="preserve">Counseling and Library faculty be included in discussions of course and program </w:t>
      </w:r>
      <w:proofErr w:type="gramStart"/>
      <w:r>
        <w:t>adoption</w:t>
      </w:r>
      <w:r w:rsidR="377831AE">
        <w:t>;</w:t>
      </w:r>
      <w:proofErr w:type="gramEnd"/>
    </w:p>
    <w:p w14:paraId="12555557" w14:textId="27408319" w:rsidR="32F62F60" w:rsidRDefault="32F62F60" w:rsidP="1E858E4A">
      <w:r w:rsidRPr="5BC264DD">
        <w:rPr>
          <w:b/>
          <w:bCs/>
        </w:rPr>
        <w:t xml:space="preserve">That </w:t>
      </w:r>
      <w:r>
        <w:t>whenever necessary</w:t>
      </w:r>
      <w:r w:rsidR="3C74F5E8">
        <w:t>,</w:t>
      </w:r>
      <w:r>
        <w:t xml:space="preserve"> in accordance with the PCCD Program and Course Approval Handbook (4</w:t>
      </w:r>
      <w:r w:rsidRPr="5BC264DD">
        <w:rPr>
          <w:vertAlign w:val="superscript"/>
        </w:rPr>
        <w:t>th</w:t>
      </w:r>
      <w:r>
        <w:t xml:space="preserve"> edition), Contract Education courses and programs will complete the curriculum approval process at least through CIPD and at least as an informational item.</w:t>
      </w:r>
    </w:p>
    <w:p w14:paraId="40FB91AB" w14:textId="1D8C02EF" w:rsidR="71767436" w:rsidRDefault="71767436" w:rsidP="477C3C69">
      <w:r>
        <w:t>____________________________________________________________________________________</w:t>
      </w:r>
    </w:p>
    <w:p w14:paraId="3ACCFA7C" w14:textId="32929104" w:rsidR="71767436" w:rsidRDefault="71767436" w:rsidP="477C3C69">
      <w:pPr>
        <w:pStyle w:val="Heading1"/>
      </w:pPr>
      <w:r w:rsidRPr="477C3C69">
        <w:rPr>
          <w:rFonts w:ascii="Lato" w:eastAsia="Lato" w:hAnsi="Lato" w:cs="Lato"/>
          <w:color w:val="0A0A0A"/>
          <w:sz w:val="24"/>
          <w:szCs w:val="24"/>
        </w:rPr>
        <w:t>10+1</w:t>
      </w:r>
    </w:p>
    <w:p w14:paraId="4CB1F904" w14:textId="1280E498" w:rsidR="71767436" w:rsidRDefault="71767436" w:rsidP="477C3C69">
      <w:r w:rsidRPr="477C3C69">
        <w:rPr>
          <w:rFonts w:ascii="Lato" w:eastAsia="Lato" w:hAnsi="Lato" w:cs="Lato"/>
          <w:color w:val="0A0A0A"/>
        </w:rPr>
        <w:t xml:space="preserve">Title 5 § 53200 (b): Academic Senate means an organization whose primary function is to make recommendations with respect to academic and professional matters. In Sections 53200 (c), "Academic and professional matters" mean the following policy development and implementation </w:t>
      </w:r>
      <w:proofErr w:type="gramStart"/>
      <w:r w:rsidRPr="477C3C69">
        <w:rPr>
          <w:rFonts w:ascii="Lato" w:eastAsia="Lato" w:hAnsi="Lato" w:cs="Lato"/>
          <w:color w:val="0A0A0A"/>
        </w:rPr>
        <w:t>matters</w:t>
      </w:r>
      <w:proofErr w:type="gramEnd"/>
    </w:p>
    <w:p w14:paraId="686E389C" w14:textId="21D921A1"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 xml:space="preserve">Curriculum including establishing prerequisites and placing courses within </w:t>
      </w:r>
      <w:proofErr w:type="gramStart"/>
      <w:r w:rsidRPr="477C3C69">
        <w:rPr>
          <w:rFonts w:ascii="Lato" w:eastAsia="Lato" w:hAnsi="Lato" w:cs="Lato"/>
          <w:color w:val="0A0A0A"/>
        </w:rPr>
        <w:t>disciplines</w:t>
      </w:r>
      <w:proofErr w:type="gramEnd"/>
    </w:p>
    <w:p w14:paraId="1834EA65" w14:textId="5284AC7D"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Degree and certificate requirements</w:t>
      </w:r>
    </w:p>
    <w:p w14:paraId="42EF1569" w14:textId="722606E5"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Grading policies</w:t>
      </w:r>
    </w:p>
    <w:p w14:paraId="5ECA851E" w14:textId="4B7E3592"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Educational program development</w:t>
      </w:r>
    </w:p>
    <w:p w14:paraId="30AF9AF4" w14:textId="46D1D09B"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Standards or policies regarding student preparation and success</w:t>
      </w:r>
    </w:p>
    <w:p w14:paraId="73EFDE3E" w14:textId="7092DB36"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 xml:space="preserve">District and college governance structures, as related to faculty </w:t>
      </w:r>
      <w:proofErr w:type="gramStart"/>
      <w:r w:rsidRPr="477C3C69">
        <w:rPr>
          <w:rFonts w:ascii="Lato" w:eastAsia="Lato" w:hAnsi="Lato" w:cs="Lato"/>
          <w:color w:val="0A0A0A"/>
        </w:rPr>
        <w:t>roles</w:t>
      </w:r>
      <w:proofErr w:type="gramEnd"/>
    </w:p>
    <w:p w14:paraId="487D46DF" w14:textId="240FD2E0"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 xml:space="preserve">Faculty roles and involvement in accreditation processes, including self-study and annual </w:t>
      </w:r>
      <w:proofErr w:type="gramStart"/>
      <w:r w:rsidRPr="477C3C69">
        <w:rPr>
          <w:rFonts w:ascii="Lato" w:eastAsia="Lato" w:hAnsi="Lato" w:cs="Lato"/>
          <w:color w:val="0A0A0A"/>
        </w:rPr>
        <w:t>reports</w:t>
      </w:r>
      <w:proofErr w:type="gramEnd"/>
    </w:p>
    <w:p w14:paraId="2C5EB666" w14:textId="3E51901E"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Policies for faculty professional development activities</w:t>
      </w:r>
    </w:p>
    <w:p w14:paraId="51FA9ACC" w14:textId="12A8CE6A"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Processes for program review</w:t>
      </w:r>
    </w:p>
    <w:p w14:paraId="7E00FC0A" w14:textId="44FD4556"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 xml:space="preserve">Processes for institutional planning and budget development </w:t>
      </w:r>
    </w:p>
    <w:p w14:paraId="7C6E253E" w14:textId="33ED0636" w:rsidR="71767436" w:rsidRDefault="71767436" w:rsidP="477C3C69">
      <w:pPr>
        <w:pStyle w:val="ListParagraph"/>
        <w:numPr>
          <w:ilvl w:val="0"/>
          <w:numId w:val="1"/>
        </w:numPr>
        <w:spacing w:after="0"/>
        <w:ind w:left="-20"/>
        <w:rPr>
          <w:rFonts w:ascii="Lato" w:eastAsia="Lato" w:hAnsi="Lato" w:cs="Lato"/>
          <w:color w:val="0A0A0A"/>
        </w:rPr>
      </w:pPr>
      <w:r w:rsidRPr="477C3C69">
        <w:rPr>
          <w:rFonts w:ascii="Lato" w:eastAsia="Lato" w:hAnsi="Lato" w:cs="Lato"/>
          <w:color w:val="0A0A0A"/>
        </w:rPr>
        <w:t>Other academic and professional matters as are mutually agreed upon between the governing board and the academic senate.</w:t>
      </w:r>
    </w:p>
    <w:p w14:paraId="3E79886E" w14:textId="20F01AD6" w:rsidR="477C3C69" w:rsidRDefault="477C3C69" w:rsidP="477C3C69"/>
    <w:sectPr w:rsidR="477C3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4371"/>
    <w:multiLevelType w:val="hybridMultilevel"/>
    <w:tmpl w:val="51EC6304"/>
    <w:lvl w:ilvl="0" w:tplc="1C009A4C">
      <w:start w:val="1"/>
      <w:numFmt w:val="decimal"/>
      <w:lvlText w:val="%1."/>
      <w:lvlJc w:val="left"/>
      <w:pPr>
        <w:ind w:left="720" w:hanging="360"/>
      </w:pPr>
    </w:lvl>
    <w:lvl w:ilvl="1" w:tplc="CFD24A98">
      <w:start w:val="1"/>
      <w:numFmt w:val="lowerLetter"/>
      <w:lvlText w:val="%2."/>
      <w:lvlJc w:val="left"/>
      <w:pPr>
        <w:ind w:left="1440" w:hanging="360"/>
      </w:pPr>
    </w:lvl>
    <w:lvl w:ilvl="2" w:tplc="07245360">
      <w:start w:val="1"/>
      <w:numFmt w:val="lowerRoman"/>
      <w:lvlText w:val="%3."/>
      <w:lvlJc w:val="right"/>
      <w:pPr>
        <w:ind w:left="2160" w:hanging="180"/>
      </w:pPr>
    </w:lvl>
    <w:lvl w:ilvl="3" w:tplc="E256BFE0">
      <w:start w:val="1"/>
      <w:numFmt w:val="decimal"/>
      <w:lvlText w:val="%4."/>
      <w:lvlJc w:val="left"/>
      <w:pPr>
        <w:ind w:left="2880" w:hanging="360"/>
      </w:pPr>
    </w:lvl>
    <w:lvl w:ilvl="4" w:tplc="9F646124">
      <w:start w:val="1"/>
      <w:numFmt w:val="lowerLetter"/>
      <w:lvlText w:val="%5."/>
      <w:lvlJc w:val="left"/>
      <w:pPr>
        <w:ind w:left="3600" w:hanging="360"/>
      </w:pPr>
    </w:lvl>
    <w:lvl w:ilvl="5" w:tplc="F8629484">
      <w:start w:val="1"/>
      <w:numFmt w:val="lowerRoman"/>
      <w:lvlText w:val="%6."/>
      <w:lvlJc w:val="right"/>
      <w:pPr>
        <w:ind w:left="4320" w:hanging="180"/>
      </w:pPr>
    </w:lvl>
    <w:lvl w:ilvl="6" w:tplc="1BA0079E">
      <w:start w:val="1"/>
      <w:numFmt w:val="decimal"/>
      <w:lvlText w:val="%7."/>
      <w:lvlJc w:val="left"/>
      <w:pPr>
        <w:ind w:left="5040" w:hanging="360"/>
      </w:pPr>
    </w:lvl>
    <w:lvl w:ilvl="7" w:tplc="79120662">
      <w:start w:val="1"/>
      <w:numFmt w:val="lowerLetter"/>
      <w:lvlText w:val="%8."/>
      <w:lvlJc w:val="left"/>
      <w:pPr>
        <w:ind w:left="5760" w:hanging="360"/>
      </w:pPr>
    </w:lvl>
    <w:lvl w:ilvl="8" w:tplc="344805F8">
      <w:start w:val="1"/>
      <w:numFmt w:val="lowerRoman"/>
      <w:lvlText w:val="%9."/>
      <w:lvlJc w:val="right"/>
      <w:pPr>
        <w:ind w:left="6480" w:hanging="180"/>
      </w:pPr>
    </w:lvl>
  </w:abstractNum>
  <w:num w:numId="1" w16cid:durableId="162276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1E7AC"/>
    <w:rsid w:val="00D20FEA"/>
    <w:rsid w:val="00E54130"/>
    <w:rsid w:val="01BABAFB"/>
    <w:rsid w:val="0209E309"/>
    <w:rsid w:val="0282A883"/>
    <w:rsid w:val="0472B2B7"/>
    <w:rsid w:val="0625F24F"/>
    <w:rsid w:val="07CFB750"/>
    <w:rsid w:val="082DA8B7"/>
    <w:rsid w:val="095CF0DE"/>
    <w:rsid w:val="0C93F657"/>
    <w:rsid w:val="0D0281BB"/>
    <w:rsid w:val="0D28109B"/>
    <w:rsid w:val="0D86B3DD"/>
    <w:rsid w:val="0EF8EA0D"/>
    <w:rsid w:val="0F8B2578"/>
    <w:rsid w:val="1076FAE5"/>
    <w:rsid w:val="11A86B5D"/>
    <w:rsid w:val="154F0334"/>
    <w:rsid w:val="16FE1BE7"/>
    <w:rsid w:val="1AD9F604"/>
    <w:rsid w:val="1B11A01E"/>
    <w:rsid w:val="1BBE44B8"/>
    <w:rsid w:val="1BD18D0A"/>
    <w:rsid w:val="1C01B1FE"/>
    <w:rsid w:val="1E858E4A"/>
    <w:rsid w:val="2115F0E0"/>
    <w:rsid w:val="21EDBA4C"/>
    <w:rsid w:val="22749FBA"/>
    <w:rsid w:val="253E760C"/>
    <w:rsid w:val="26D30881"/>
    <w:rsid w:val="2826502C"/>
    <w:rsid w:val="29FF3726"/>
    <w:rsid w:val="2A22C61E"/>
    <w:rsid w:val="2E2E28F1"/>
    <w:rsid w:val="30EBCAE4"/>
    <w:rsid w:val="31F4BE62"/>
    <w:rsid w:val="32F62F60"/>
    <w:rsid w:val="331C7A5C"/>
    <w:rsid w:val="33CA02BD"/>
    <w:rsid w:val="344535D9"/>
    <w:rsid w:val="34B434F2"/>
    <w:rsid w:val="35436C5E"/>
    <w:rsid w:val="35C3FFAA"/>
    <w:rsid w:val="377831AE"/>
    <w:rsid w:val="37EBD5B4"/>
    <w:rsid w:val="3AEB1D48"/>
    <w:rsid w:val="3B379B42"/>
    <w:rsid w:val="3B4A6C64"/>
    <w:rsid w:val="3C74F5E8"/>
    <w:rsid w:val="3CAF3F65"/>
    <w:rsid w:val="3CBF46D7"/>
    <w:rsid w:val="3CDC32AA"/>
    <w:rsid w:val="3DDEECE3"/>
    <w:rsid w:val="3E63C9E7"/>
    <w:rsid w:val="3E68E4C9"/>
    <w:rsid w:val="3F38F2D8"/>
    <w:rsid w:val="40861F05"/>
    <w:rsid w:val="421BAA9F"/>
    <w:rsid w:val="4221EF66"/>
    <w:rsid w:val="4265A4C4"/>
    <w:rsid w:val="44BA66C4"/>
    <w:rsid w:val="44CA58BC"/>
    <w:rsid w:val="44D8264D"/>
    <w:rsid w:val="452AF3A8"/>
    <w:rsid w:val="454067CB"/>
    <w:rsid w:val="4666291D"/>
    <w:rsid w:val="477C3C69"/>
    <w:rsid w:val="4ABB74DC"/>
    <w:rsid w:val="4C2D5D33"/>
    <w:rsid w:val="4E374F1D"/>
    <w:rsid w:val="4F8BC3B4"/>
    <w:rsid w:val="4F9C2E03"/>
    <w:rsid w:val="50861B12"/>
    <w:rsid w:val="50917668"/>
    <w:rsid w:val="5122EB1B"/>
    <w:rsid w:val="51A8444C"/>
    <w:rsid w:val="52E55399"/>
    <w:rsid w:val="536F8FA0"/>
    <w:rsid w:val="53A1E7AC"/>
    <w:rsid w:val="54AE7E27"/>
    <w:rsid w:val="5631262B"/>
    <w:rsid w:val="564A4E88"/>
    <w:rsid w:val="579EC5F3"/>
    <w:rsid w:val="57E61EE9"/>
    <w:rsid w:val="5AB2EE87"/>
    <w:rsid w:val="5BA2312A"/>
    <w:rsid w:val="5BC264DD"/>
    <w:rsid w:val="5D5CCCCC"/>
    <w:rsid w:val="5D619D7A"/>
    <w:rsid w:val="5DB0696E"/>
    <w:rsid w:val="5DE3392B"/>
    <w:rsid w:val="5E9C63DC"/>
    <w:rsid w:val="618D012F"/>
    <w:rsid w:val="63D77372"/>
    <w:rsid w:val="64C4A1F1"/>
    <w:rsid w:val="657864E7"/>
    <w:rsid w:val="659F3C87"/>
    <w:rsid w:val="66607252"/>
    <w:rsid w:val="6774F8CD"/>
    <w:rsid w:val="67FC42B3"/>
    <w:rsid w:val="686C97C5"/>
    <w:rsid w:val="6A72ADAA"/>
    <w:rsid w:val="6B92F04D"/>
    <w:rsid w:val="6E4F3257"/>
    <w:rsid w:val="6EF7E33C"/>
    <w:rsid w:val="6F0B29F0"/>
    <w:rsid w:val="6F7C6078"/>
    <w:rsid w:val="6F800AB2"/>
    <w:rsid w:val="6FB73EA1"/>
    <w:rsid w:val="7018B52E"/>
    <w:rsid w:val="711BDB13"/>
    <w:rsid w:val="71767436"/>
    <w:rsid w:val="7296CEF9"/>
    <w:rsid w:val="7477952A"/>
    <w:rsid w:val="74C19D5E"/>
    <w:rsid w:val="75B56051"/>
    <w:rsid w:val="75DF5A3E"/>
    <w:rsid w:val="775130B2"/>
    <w:rsid w:val="77AFD993"/>
    <w:rsid w:val="77C14D40"/>
    <w:rsid w:val="77D7AA5A"/>
    <w:rsid w:val="78ED0113"/>
    <w:rsid w:val="79A8367A"/>
    <w:rsid w:val="7AB7628D"/>
    <w:rsid w:val="7CB6AF55"/>
    <w:rsid w:val="7D392850"/>
    <w:rsid w:val="7D94612B"/>
    <w:rsid w:val="7F10D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E7AC"/>
  <w15:chartTrackingRefBased/>
  <w15:docId w15:val="{3DE91C0B-2F98-4D2A-B971-4AAEAE89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EF82BC3570F4B993A21CD52ADED0E" ma:contentTypeVersion="8" ma:contentTypeDescription="Create a new document." ma:contentTypeScope="" ma:versionID="d1688e8c4791b6fe5bfb88b97b0c1965">
  <xsd:schema xmlns:xsd="http://www.w3.org/2001/XMLSchema" xmlns:xs="http://www.w3.org/2001/XMLSchema" xmlns:p="http://schemas.microsoft.com/office/2006/metadata/properties" xmlns:ns2="c1db0eb4-3a2c-4bee-86d5-91be30cf9d21" xmlns:ns3="878f0500-7f67-4f7f-ac37-57520c9a46f5" targetNamespace="http://schemas.microsoft.com/office/2006/metadata/properties" ma:root="true" ma:fieldsID="58b8e4d8be617ef25cb07faf9b93f238" ns2:_="" ns3:_="">
    <xsd:import namespace="c1db0eb4-3a2c-4bee-86d5-91be30cf9d21"/>
    <xsd:import namespace="878f0500-7f67-4f7f-ac37-57520c9a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b0eb4-3a2c-4bee-86d5-91be30cf9d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0500-7f67-4f7f-ac37-57520c9a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655F5-883F-4D33-B2C1-863DBD0DB67A}"/>
</file>

<file path=customXml/itemProps2.xml><?xml version="1.0" encoding="utf-8"?>
<ds:datastoreItem xmlns:ds="http://schemas.openxmlformats.org/officeDocument/2006/customXml" ds:itemID="{3008792E-E4DF-421C-9498-F647C02A18F8}"/>
</file>

<file path=customXml/itemProps3.xml><?xml version="1.0" encoding="utf-8"?>
<ds:datastoreItem xmlns:ds="http://schemas.openxmlformats.org/officeDocument/2006/customXml" ds:itemID="{6B3A80C7-8D2D-46D6-9E53-E4DC3FB8A950}"/>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2623</Characters>
  <Application>Microsoft Office Word</Application>
  <DocSecurity>0</DocSecurity>
  <Lines>437</Lines>
  <Paragraphs>320</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Nelson</dc:creator>
  <cp:keywords/>
  <dc:description/>
  <cp:lastModifiedBy>Jennifer Fowler</cp:lastModifiedBy>
  <cp:revision>2</cp:revision>
  <dcterms:created xsi:type="dcterms:W3CDTF">2024-02-28T20:43:00Z</dcterms:created>
  <dcterms:modified xsi:type="dcterms:W3CDTF">2024-02-28T20:43:00Z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0x010100F4EEF82BC3570F4B993A21CD52ADED0E</vt:lpwstr>
  </property>
</Properties>
</file>