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406B6D" w:rsidP="00182A8E">
            <w:pPr>
              <w:pStyle w:val="Heading3"/>
              <w:keepNext/>
              <w:keepLines/>
              <w:numPr>
                <w:ilvl w:val="0"/>
                <w:numId w:val="12"/>
              </w:numPr>
              <w:ind w:left="360" w:hanging="444"/>
              <w:jc w:val="left"/>
              <w:rPr>
                <w:color w:val="auto"/>
              </w:rPr>
            </w:pPr>
            <w:r>
              <w:t xml:space="preserve"> </w:t>
            </w:r>
            <w:r w:rsidR="003019F5">
              <w:t>(without data)</w:t>
            </w:r>
            <w:bookmarkStart w:id="0" w:name="_GoBack"/>
            <w:bookmarkEnd w:id="0"/>
            <w:r w:rsidR="00886E7F">
              <w:rPr>
                <w:color w:val="auto"/>
              </w:rPr>
              <w:t xml:space="preserve">     </w:t>
            </w:r>
            <w:r w:rsidR="00886E7F" w:rsidRPr="008A15B5">
              <w:rPr>
                <w:color w:val="auto"/>
              </w:rPr>
              <w:t>Overvie</w:t>
            </w:r>
            <w:r w:rsidR="00886E7F">
              <w:rPr>
                <w:color w:val="auto"/>
              </w:rPr>
              <w:t>w</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886E7F" w:rsidRPr="00FD6D29" w:rsidRDefault="003200A9" w:rsidP="005F6C79">
            <w:pPr>
              <w:keepNext/>
              <w:keepLines/>
            </w:pPr>
            <w:r>
              <w:t>10/</w:t>
            </w:r>
            <w:r w:rsidR="005F6C79">
              <w:t>7</w:t>
            </w:r>
            <w:r>
              <w:t>/2011</w:t>
            </w:r>
          </w:p>
        </w:tc>
      </w:tr>
      <w:tr w:rsidR="00D96637" w:rsidRPr="008A15B5" w:rsidTr="007C7D6C">
        <w:trPr>
          <w:trHeight w:val="288"/>
          <w:tblCellSpacing w:w="20" w:type="dxa"/>
        </w:trPr>
        <w:tc>
          <w:tcPr>
            <w:tcW w:w="4835"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D96637" w:rsidRPr="00FD6D29" w:rsidRDefault="005F6C79" w:rsidP="003200A9">
            <w:pPr>
              <w:keepNext/>
              <w:keepLines/>
            </w:pPr>
            <w:r>
              <w:rPr>
                <w:noProof/>
              </w:rPr>
              <w:t>n/a</w:t>
            </w:r>
          </w:p>
        </w:tc>
      </w:tr>
      <w:tr w:rsidR="00115DF1" w:rsidRPr="008A15B5" w:rsidTr="007C7D6C">
        <w:trPr>
          <w:trHeight w:val="288"/>
          <w:tblCellSpacing w:w="20" w:type="dxa"/>
        </w:trPr>
        <w:tc>
          <w:tcPr>
            <w:tcW w:w="4835"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4940" w:type="dxa"/>
            <w:shd w:val="clear" w:color="auto" w:fill="auto"/>
          </w:tcPr>
          <w:p w:rsidR="00115DF1" w:rsidRDefault="003200A9" w:rsidP="00602B7B">
            <w:r>
              <w:rPr>
                <w:noProof/>
              </w:rPr>
              <w:t xml:space="preserve">Student Services Administrative </w:t>
            </w:r>
          </w:p>
        </w:tc>
      </w:tr>
      <w:tr w:rsidR="00115DF1" w:rsidRPr="008A15B5" w:rsidTr="007C7D6C">
        <w:trPr>
          <w:trHeight w:val="288"/>
          <w:tblCellSpacing w:w="20" w:type="dxa"/>
        </w:trPr>
        <w:tc>
          <w:tcPr>
            <w:tcW w:w="4835"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115DF1" w:rsidRDefault="003200A9" w:rsidP="00602B7B">
            <w:r>
              <w:rPr>
                <w:noProof/>
              </w:rPr>
              <w:t>College of Alameda</w:t>
            </w:r>
          </w:p>
        </w:tc>
      </w:tr>
      <w:tr w:rsidR="00886E7F" w:rsidRPr="008A15B5" w:rsidTr="007C7D6C">
        <w:trPr>
          <w:trHeight w:val="288"/>
          <w:tblCellSpacing w:w="20" w:type="dxa"/>
        </w:trPr>
        <w:tc>
          <w:tcPr>
            <w:tcW w:w="4835"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4940" w:type="dxa"/>
            <w:shd w:val="clear" w:color="auto" w:fill="auto"/>
          </w:tcPr>
          <w:p w:rsidR="00886E7F" w:rsidRDefault="003200A9" w:rsidP="00182A8E">
            <w:pPr>
              <w:keepNext/>
              <w:keepLines/>
              <w:rPr>
                <w:noProof/>
              </w:rPr>
            </w:pPr>
            <w:r>
              <w:t>Kerry Compton, Vice-President, Student Services, Alexis Montevirgen, Dean of Students, Toni Cook, EOPS Director</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4940" w:type="dxa"/>
            <w:shd w:val="clear" w:color="auto" w:fill="auto"/>
          </w:tcPr>
          <w:p w:rsidR="00886E7F" w:rsidRDefault="003200A9" w:rsidP="00182A8E">
            <w:pPr>
              <w:keepNext/>
              <w:keepLines/>
              <w:rPr>
                <w:noProof/>
              </w:rPr>
            </w:pPr>
            <w:r>
              <w:rPr>
                <w:noProof/>
              </w:rPr>
              <w:t>n/a</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3200A9" w:rsidRPr="00602B7B" w:rsidRDefault="003200A9" w:rsidP="003200A9">
            <w:pPr>
              <w:rPr>
                <w:rFonts w:cs="Arial"/>
                <w:sz w:val="20"/>
              </w:rPr>
            </w:pPr>
            <w:r w:rsidRPr="00602B7B">
              <w:rPr>
                <w:rFonts w:cs="Arial"/>
                <w:sz w:val="20"/>
              </w:rPr>
              <w:t>Since the founding of the college, the mission of the Student Services Division has aimed to establish and maintain an environment that fosters the intellectual and personal development of students.  The Student Services division provides a network of academic support services for all students that facilitate the institution’s progress to ensure access, excellence and success to those students who can benefit from instruction at the post secondary level.</w:t>
            </w:r>
          </w:p>
          <w:p w:rsidR="003200A9" w:rsidRDefault="003200A9" w:rsidP="003200A9">
            <w:pPr>
              <w:rPr>
                <w:rFonts w:ascii="Times New Roman" w:hAnsi="Times New Roman"/>
                <w:sz w:val="20"/>
              </w:rPr>
            </w:pPr>
            <w:r>
              <w:rPr>
                <w:rFonts w:ascii="Times New Roman" w:hAnsi="Times New Roman"/>
                <w:sz w:val="20"/>
              </w:rPr>
              <w:tab/>
            </w:r>
          </w:p>
          <w:p w:rsidR="003200A9" w:rsidRDefault="003200A9" w:rsidP="00602B7B">
            <w:pPr>
              <w:pStyle w:val="BodyTextIndent"/>
              <w:ind w:left="0"/>
              <w:rPr>
                <w:sz w:val="20"/>
              </w:rPr>
            </w:pPr>
            <w:r>
              <w:rPr>
                <w:sz w:val="20"/>
              </w:rPr>
              <w:t xml:space="preserve">Student Services has the opportunity to create an environment of “community” on the campus that promotes learning and service to others and where a seamless and cooperative co-curricular and extra-curricular relationship </w:t>
            </w:r>
            <w:r w:rsidR="00602B7B">
              <w:rPr>
                <w:sz w:val="20"/>
              </w:rPr>
              <w:t>supports</w:t>
            </w:r>
            <w:r>
              <w:rPr>
                <w:sz w:val="20"/>
              </w:rPr>
              <w:t xml:space="preserve"> classroom activities </w:t>
            </w:r>
            <w:r w:rsidR="00602B7B">
              <w:rPr>
                <w:sz w:val="20"/>
              </w:rPr>
              <w:t xml:space="preserve">through </w:t>
            </w:r>
            <w:r>
              <w:rPr>
                <w:sz w:val="20"/>
              </w:rPr>
              <w:t>support services.</w:t>
            </w:r>
          </w:p>
          <w:p w:rsidR="00CD4EC0" w:rsidRDefault="00CD4EC0" w:rsidP="00CD4EC0">
            <w:pPr>
              <w:rPr>
                <w:rFonts w:ascii="Times New Roman" w:hAnsi="Times New Roman"/>
                <w:sz w:val="20"/>
              </w:rPr>
            </w:pPr>
          </w:p>
          <w:p w:rsidR="00CD4EC0" w:rsidRPr="005F6C79" w:rsidRDefault="00CD4EC0" w:rsidP="00CD4EC0">
            <w:pPr>
              <w:pStyle w:val="BodyText"/>
              <w:rPr>
                <w:rFonts w:cs="Arial"/>
                <w:sz w:val="20"/>
              </w:rPr>
            </w:pPr>
            <w:r w:rsidRPr="005F6C79">
              <w:rPr>
                <w:rFonts w:cs="Arial"/>
                <w:sz w:val="20"/>
              </w:rPr>
              <w:t>The Student Services Division is led by the Vice-President of Student Services who provides the overall coordination and the administration of all units in Student Services.  She is assisted by the Director, EOPS  and the Dean of enrollment Services (a new position as of 7/1/11), with the successful design, implementation, articulation, and evaluation of programs, services, and personnel of these units:</w:t>
            </w:r>
          </w:p>
          <w:p w:rsidR="00CD4EC0" w:rsidRPr="005F6C79" w:rsidRDefault="00CD4EC0" w:rsidP="00CD4EC0">
            <w:pPr>
              <w:rPr>
                <w:rFonts w:cs="Arial"/>
                <w:sz w:val="20"/>
              </w:rPr>
            </w:pPr>
            <w:r w:rsidRPr="005F6C79">
              <w:rPr>
                <w:rFonts w:cs="Arial"/>
                <w:sz w:val="20"/>
              </w:rPr>
              <w:tab/>
              <w:t>Admissions and Records (liaison with District)</w:t>
            </w:r>
          </w:p>
          <w:p w:rsidR="00CD4EC0" w:rsidRPr="005F6C79" w:rsidRDefault="00CD4EC0" w:rsidP="00CD4EC0">
            <w:pPr>
              <w:rPr>
                <w:rFonts w:cs="Arial"/>
                <w:sz w:val="20"/>
              </w:rPr>
            </w:pPr>
            <w:r w:rsidRPr="005F6C79">
              <w:rPr>
                <w:rFonts w:cs="Arial"/>
                <w:sz w:val="20"/>
              </w:rPr>
              <w:tab/>
              <w:t>Articulation</w:t>
            </w:r>
          </w:p>
          <w:p w:rsidR="00CD4EC0" w:rsidRPr="005F6C79" w:rsidRDefault="00CD4EC0" w:rsidP="00CD4EC0">
            <w:pPr>
              <w:rPr>
                <w:rFonts w:cs="Arial"/>
                <w:sz w:val="20"/>
              </w:rPr>
            </w:pPr>
            <w:r w:rsidRPr="005F6C79">
              <w:rPr>
                <w:rFonts w:cs="Arial"/>
                <w:sz w:val="20"/>
              </w:rPr>
              <w:tab/>
              <w:t>Athletics</w:t>
            </w:r>
          </w:p>
          <w:p w:rsidR="00CD4EC0" w:rsidRPr="005F6C79" w:rsidRDefault="00CD4EC0" w:rsidP="00CD4EC0">
            <w:pPr>
              <w:rPr>
                <w:rFonts w:cs="Arial"/>
                <w:sz w:val="20"/>
              </w:rPr>
            </w:pPr>
            <w:r w:rsidRPr="005F6C79">
              <w:rPr>
                <w:rFonts w:cs="Arial"/>
                <w:sz w:val="20"/>
              </w:rPr>
              <w:tab/>
              <w:t>Cal WORKS (consolidated with EOPS)</w:t>
            </w:r>
          </w:p>
          <w:p w:rsidR="00CD4EC0" w:rsidRPr="005F6C79" w:rsidRDefault="00CD4EC0" w:rsidP="00CD4EC0">
            <w:pPr>
              <w:rPr>
                <w:rFonts w:cs="Arial"/>
                <w:sz w:val="20"/>
              </w:rPr>
            </w:pPr>
            <w:r w:rsidRPr="005F6C79">
              <w:rPr>
                <w:rFonts w:cs="Arial"/>
                <w:sz w:val="20"/>
              </w:rPr>
              <w:t xml:space="preserve">               Children's Center (eliminated 8/1/11)</w:t>
            </w:r>
          </w:p>
          <w:p w:rsidR="00CD4EC0" w:rsidRDefault="00CD4EC0" w:rsidP="00CD4EC0">
            <w:pPr>
              <w:ind w:firstLine="720"/>
              <w:rPr>
                <w:rFonts w:cs="Arial"/>
                <w:sz w:val="20"/>
              </w:rPr>
            </w:pPr>
            <w:r w:rsidRPr="005F6C79">
              <w:rPr>
                <w:rFonts w:cs="Arial"/>
                <w:sz w:val="20"/>
              </w:rPr>
              <w:t>Counseling</w:t>
            </w:r>
          </w:p>
          <w:p w:rsidR="005F6C79" w:rsidRPr="005F6C79" w:rsidRDefault="005F6C79" w:rsidP="00CD4EC0">
            <w:pPr>
              <w:ind w:firstLine="720"/>
              <w:rPr>
                <w:rFonts w:cs="Arial"/>
                <w:sz w:val="20"/>
              </w:rPr>
            </w:pPr>
            <w:r>
              <w:rPr>
                <w:rFonts w:cs="Arial"/>
                <w:sz w:val="20"/>
              </w:rPr>
              <w:t>Counseling &amp; Guidance discipline</w:t>
            </w:r>
          </w:p>
          <w:p w:rsidR="00CD4EC0" w:rsidRPr="005F6C79" w:rsidRDefault="00CD4EC0" w:rsidP="00CD4EC0">
            <w:pPr>
              <w:rPr>
                <w:rFonts w:cs="Arial"/>
                <w:sz w:val="20"/>
              </w:rPr>
            </w:pPr>
            <w:r w:rsidRPr="005F6C79">
              <w:rPr>
                <w:rFonts w:cs="Arial"/>
                <w:sz w:val="20"/>
              </w:rPr>
              <w:tab/>
              <w:t>Extended Opportunities Programs and Services    (EOPS), CARE, YESS Program</w:t>
            </w:r>
          </w:p>
          <w:p w:rsidR="00CD4EC0" w:rsidRPr="005F6C79" w:rsidRDefault="00CD4EC0" w:rsidP="00CD4EC0">
            <w:pPr>
              <w:rPr>
                <w:rFonts w:cs="Arial"/>
                <w:sz w:val="20"/>
              </w:rPr>
            </w:pPr>
            <w:r w:rsidRPr="005F6C79">
              <w:rPr>
                <w:rFonts w:cs="Arial"/>
                <w:sz w:val="20"/>
              </w:rPr>
              <w:tab/>
              <w:t>Financial Aid (Student Financial Assistance) (liaison with the District)</w:t>
            </w:r>
          </w:p>
          <w:p w:rsidR="00CD4EC0" w:rsidRPr="005F6C79" w:rsidRDefault="00CD4EC0" w:rsidP="00CD4EC0">
            <w:pPr>
              <w:rPr>
                <w:rFonts w:cs="Arial"/>
                <w:sz w:val="20"/>
              </w:rPr>
            </w:pPr>
            <w:r w:rsidRPr="005F6C79">
              <w:rPr>
                <w:rFonts w:cs="Arial"/>
                <w:sz w:val="20"/>
              </w:rPr>
              <w:tab/>
              <w:t>Health Services (partial with District)</w:t>
            </w:r>
          </w:p>
          <w:p w:rsidR="00CD4EC0" w:rsidRPr="005F6C79" w:rsidRDefault="00CD4EC0" w:rsidP="00CD4EC0">
            <w:pPr>
              <w:ind w:left="720"/>
              <w:rPr>
                <w:rFonts w:cs="Arial"/>
                <w:sz w:val="20"/>
              </w:rPr>
            </w:pPr>
            <w:r w:rsidRPr="005F6C79">
              <w:rPr>
                <w:rFonts w:cs="Arial"/>
                <w:sz w:val="20"/>
              </w:rPr>
              <w:t>Student Success Learning Communities</w:t>
            </w:r>
          </w:p>
          <w:p w:rsidR="00CD4EC0" w:rsidRPr="005F6C79" w:rsidRDefault="00CD4EC0" w:rsidP="00CD4EC0">
            <w:pPr>
              <w:rPr>
                <w:rFonts w:cs="Arial"/>
                <w:sz w:val="20"/>
              </w:rPr>
            </w:pPr>
            <w:r w:rsidRPr="005F6C79">
              <w:rPr>
                <w:rFonts w:cs="Arial"/>
                <w:sz w:val="20"/>
              </w:rPr>
              <w:tab/>
              <w:t xml:space="preserve">Matriculation - Assessment, Orientation, </w:t>
            </w:r>
            <w:r w:rsidRPr="005F6C79">
              <w:rPr>
                <w:rFonts w:cs="Arial"/>
                <w:sz w:val="20"/>
              </w:rPr>
              <w:lastRenderedPageBreak/>
              <w:t>Counseling/ Advising, Student Follow-up, Outreach and Recruitment</w:t>
            </w:r>
          </w:p>
          <w:p w:rsidR="00CD4EC0" w:rsidRPr="005F6C79" w:rsidRDefault="00CD4EC0" w:rsidP="00CD4EC0">
            <w:pPr>
              <w:rPr>
                <w:rFonts w:cs="Arial"/>
                <w:sz w:val="20"/>
              </w:rPr>
            </w:pPr>
            <w:r w:rsidRPr="005F6C79">
              <w:rPr>
                <w:rFonts w:cs="Arial"/>
                <w:sz w:val="20"/>
              </w:rPr>
              <w:tab/>
              <w:t>One-Stop Career Center</w:t>
            </w:r>
          </w:p>
          <w:p w:rsidR="00CD4EC0" w:rsidRPr="005F6C79" w:rsidRDefault="00CD4EC0" w:rsidP="00CD4EC0">
            <w:pPr>
              <w:rPr>
                <w:rFonts w:cs="Arial"/>
                <w:sz w:val="20"/>
              </w:rPr>
            </w:pPr>
            <w:r w:rsidRPr="005F6C79">
              <w:rPr>
                <w:rFonts w:cs="Arial"/>
                <w:sz w:val="20"/>
              </w:rPr>
              <w:tab/>
              <w:t>Outreach and Recruitment (eliminated 7/1/11-under Dean of Enrollment Services)</w:t>
            </w:r>
          </w:p>
          <w:p w:rsidR="00CD4EC0" w:rsidRDefault="00CD4EC0" w:rsidP="00CD4EC0">
            <w:pPr>
              <w:rPr>
                <w:rFonts w:cs="Arial"/>
                <w:sz w:val="20"/>
              </w:rPr>
            </w:pPr>
            <w:r w:rsidRPr="005F6C79">
              <w:rPr>
                <w:rFonts w:cs="Arial"/>
                <w:sz w:val="20"/>
              </w:rPr>
              <w:tab/>
              <w:t>Programs and Services for Students with Disabilities (DSPS)</w:t>
            </w:r>
          </w:p>
          <w:p w:rsidR="005F6C79" w:rsidRPr="005F6C79" w:rsidRDefault="005F6C79" w:rsidP="009528FB">
            <w:pPr>
              <w:ind w:left="720"/>
              <w:rPr>
                <w:rFonts w:cs="Arial"/>
                <w:sz w:val="20"/>
              </w:rPr>
            </w:pPr>
            <w:r>
              <w:rPr>
                <w:rFonts w:cs="Arial"/>
                <w:sz w:val="20"/>
              </w:rPr>
              <w:t xml:space="preserve">DSPS Instructional: </w:t>
            </w:r>
          </w:p>
          <w:p w:rsidR="00CD4EC0" w:rsidRPr="005F6C79" w:rsidRDefault="00CD4EC0" w:rsidP="00CD4EC0">
            <w:pPr>
              <w:ind w:firstLine="720"/>
              <w:rPr>
                <w:rFonts w:cs="Arial"/>
                <w:sz w:val="20"/>
              </w:rPr>
            </w:pPr>
            <w:r w:rsidRPr="005F6C79">
              <w:rPr>
                <w:rFonts w:cs="Arial"/>
                <w:sz w:val="20"/>
              </w:rPr>
              <w:t xml:space="preserve"> Student Leadership (formerly Student Activities)</w:t>
            </w:r>
          </w:p>
          <w:p w:rsidR="00CD4EC0" w:rsidRPr="005F6C79" w:rsidRDefault="00CD4EC0" w:rsidP="00CD4EC0">
            <w:pPr>
              <w:rPr>
                <w:rFonts w:cs="Arial"/>
                <w:sz w:val="20"/>
              </w:rPr>
            </w:pPr>
            <w:r w:rsidRPr="005F6C79">
              <w:rPr>
                <w:rFonts w:cs="Arial"/>
                <w:sz w:val="20"/>
              </w:rPr>
              <w:tab/>
              <w:t>Transfer Program (formerly Transfer Center)</w:t>
            </w:r>
          </w:p>
          <w:p w:rsidR="00CD4EC0" w:rsidRPr="005F6C79" w:rsidRDefault="00CD4EC0" w:rsidP="00CD4EC0">
            <w:pPr>
              <w:rPr>
                <w:rFonts w:cs="Arial"/>
                <w:sz w:val="20"/>
              </w:rPr>
            </w:pPr>
            <w:r w:rsidRPr="005F6C79">
              <w:rPr>
                <w:rFonts w:cs="Arial"/>
                <w:sz w:val="20"/>
              </w:rPr>
              <w:tab/>
              <w:t>Veterans Services</w:t>
            </w:r>
          </w:p>
          <w:p w:rsidR="00CD4EC0" w:rsidRPr="005F6C79" w:rsidRDefault="00CD4EC0" w:rsidP="00CD4EC0">
            <w:pPr>
              <w:rPr>
                <w:rFonts w:cs="Arial"/>
                <w:sz w:val="20"/>
              </w:rPr>
            </w:pPr>
          </w:p>
          <w:p w:rsidR="00CD4EC0" w:rsidRPr="005F6C79" w:rsidRDefault="00CD4EC0" w:rsidP="005F6C79">
            <w:pPr>
              <w:rPr>
                <w:rFonts w:cs="Arial"/>
                <w:sz w:val="20"/>
              </w:rPr>
            </w:pPr>
            <w:r w:rsidRPr="005F6C79">
              <w:rPr>
                <w:rFonts w:cs="Arial"/>
                <w:sz w:val="20"/>
              </w:rPr>
              <w:t>Decisions on the degree of comprehensiveness of services depend on the purposes of the institution, the diversified needs of its students and the communities from which they come</w:t>
            </w:r>
            <w:r w:rsidR="005F6C79">
              <w:rPr>
                <w:rFonts w:cs="Arial"/>
                <w:sz w:val="20"/>
              </w:rPr>
              <w:t>, and the funding available</w:t>
            </w:r>
            <w:r w:rsidRPr="005F6C79">
              <w:rPr>
                <w:rFonts w:cs="Arial"/>
                <w:sz w:val="20"/>
              </w:rPr>
              <w:t xml:space="preserve">.  The functions, goals and objectives of each service are consistent with the mission, goals, and strategic objectives of the institution.  </w:t>
            </w:r>
          </w:p>
          <w:p w:rsidR="00886E7F" w:rsidRDefault="00886E7F" w:rsidP="00182A8E">
            <w:pPr>
              <w:keepNext/>
              <w:keepLines/>
              <w:rPr>
                <w:noProof/>
              </w:rPr>
            </w:pP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r>
              <w:rPr>
                <w:color w:val="auto"/>
              </w:rPr>
              <w:t>Student Data</w:t>
            </w:r>
            <w:r w:rsidR="00E837BF">
              <w:rPr>
                <w:color w:val="auto"/>
              </w:rPr>
              <w:t xml:space="preserve"> (Include service area data such as the number of students served by the program or service.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EvaluationCriteria"/>
              <w:keepNext/>
              <w:keepLines/>
              <w:ind w:left="636"/>
              <w:rPr>
                <w:b w:val="0"/>
                <w:sz w:val="20"/>
                <w:szCs w:val="20"/>
              </w:rPr>
            </w:pPr>
          </w:p>
        </w:tc>
        <w:tc>
          <w:tcPr>
            <w:tcW w:w="1921" w:type="dxa"/>
            <w:shd w:val="clear" w:color="auto" w:fill="auto"/>
          </w:tcPr>
          <w:p w:rsidR="00115DF1" w:rsidRPr="00406B6D" w:rsidRDefault="00406B6D">
            <w:r w:rsidRPr="00406B6D">
              <w:t>6542</w:t>
            </w:r>
          </w:p>
        </w:tc>
        <w:tc>
          <w:tcPr>
            <w:tcW w:w="1922" w:type="dxa"/>
            <w:shd w:val="clear" w:color="auto" w:fill="auto"/>
          </w:tcPr>
          <w:p w:rsidR="00115DF1" w:rsidRDefault="00CD4EC0">
            <w:r>
              <w:t>6659</w:t>
            </w:r>
          </w:p>
        </w:tc>
        <w:tc>
          <w:tcPr>
            <w:tcW w:w="2081" w:type="dxa"/>
            <w:shd w:val="clear" w:color="auto" w:fill="auto"/>
          </w:tcPr>
          <w:p w:rsidR="00115DF1" w:rsidRDefault="00CD4EC0">
            <w:r>
              <w:t>6379</w:t>
            </w:r>
          </w:p>
        </w:tc>
      </w:tr>
      <w:tr w:rsidR="000A1B5F" w:rsidRPr="00833861" w:rsidTr="008A15B5">
        <w:trPr>
          <w:trHeight w:val="288"/>
          <w:tblCellSpacing w:w="20" w:type="dxa"/>
        </w:trPr>
        <w:tc>
          <w:tcPr>
            <w:tcW w:w="3759"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1921" w:type="dxa"/>
            <w:shd w:val="clear" w:color="auto" w:fill="auto"/>
          </w:tcPr>
          <w:p w:rsidR="000A1B5F" w:rsidRPr="008A15B5" w:rsidRDefault="00602B7B" w:rsidP="00A62E52">
            <w:pPr>
              <w:keepNext/>
              <w:keepLines/>
              <w:jc w:val="center"/>
              <w:rPr>
                <w:sz w:val="20"/>
                <w:szCs w:val="20"/>
              </w:rPr>
            </w:pPr>
            <w:r>
              <w:rPr>
                <w:sz w:val="20"/>
                <w:szCs w:val="20"/>
              </w:rPr>
              <w:t>67.1%</w:t>
            </w:r>
          </w:p>
        </w:tc>
        <w:tc>
          <w:tcPr>
            <w:tcW w:w="1922" w:type="dxa"/>
            <w:shd w:val="clear" w:color="auto" w:fill="auto"/>
          </w:tcPr>
          <w:p w:rsidR="000A1B5F" w:rsidRPr="008A15B5" w:rsidRDefault="00602B7B" w:rsidP="00A62E52">
            <w:pPr>
              <w:keepNext/>
              <w:keepLines/>
              <w:jc w:val="center"/>
              <w:rPr>
                <w:sz w:val="20"/>
                <w:szCs w:val="20"/>
              </w:rPr>
            </w:pPr>
            <w:r>
              <w:rPr>
                <w:sz w:val="20"/>
                <w:szCs w:val="20"/>
              </w:rPr>
              <w:t>67.1%</w:t>
            </w:r>
          </w:p>
        </w:tc>
        <w:tc>
          <w:tcPr>
            <w:tcW w:w="2081" w:type="dxa"/>
            <w:shd w:val="clear" w:color="auto" w:fill="auto"/>
          </w:tcPr>
          <w:p w:rsidR="000A1B5F" w:rsidRPr="008A15B5" w:rsidRDefault="00CD4EC0" w:rsidP="00A62E52">
            <w:pPr>
              <w:keepNext/>
              <w:keepLines/>
              <w:jc w:val="center"/>
              <w:rPr>
                <w:sz w:val="20"/>
                <w:szCs w:val="20"/>
              </w:rPr>
            </w:pPr>
            <w:r>
              <w:rPr>
                <w:sz w:val="20"/>
                <w:szCs w:val="20"/>
              </w:rPr>
              <w:t>n/a</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602B7B">
            <w:r>
              <w:t>65.5%</w:t>
            </w:r>
          </w:p>
        </w:tc>
        <w:tc>
          <w:tcPr>
            <w:tcW w:w="1922" w:type="dxa"/>
            <w:shd w:val="clear" w:color="auto" w:fill="auto"/>
          </w:tcPr>
          <w:p w:rsidR="00115DF1" w:rsidRDefault="00602B7B">
            <w:r>
              <w:t>66.6%</w:t>
            </w:r>
          </w:p>
        </w:tc>
        <w:tc>
          <w:tcPr>
            <w:tcW w:w="2081" w:type="dxa"/>
            <w:shd w:val="clear" w:color="auto" w:fill="auto"/>
          </w:tcPr>
          <w:p w:rsidR="00115DF1" w:rsidRPr="008A15B5" w:rsidRDefault="00602B7B" w:rsidP="00A62E52">
            <w:pPr>
              <w:keepNext/>
              <w:keepLines/>
              <w:jc w:val="center"/>
              <w:rPr>
                <w:sz w:val="20"/>
                <w:szCs w:val="20"/>
              </w:rPr>
            </w:pPr>
            <w:r>
              <w:rPr>
                <w:sz w:val="20"/>
                <w:szCs w:val="20"/>
              </w:rPr>
              <w:t>n/a</w:t>
            </w:r>
          </w:p>
        </w:tc>
      </w:tr>
    </w:tbl>
    <w:p w:rsidR="008B7EFA" w:rsidRDefault="008B7EFA" w:rsidP="00106000">
      <w:pPr>
        <w:pStyle w:val="FieldText"/>
      </w:pP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115DF1" w:rsidRDefault="00602B7B" w:rsidP="009528FB">
            <w:r>
              <w:rPr>
                <w:noProof/>
              </w:rPr>
              <w:t>1</w:t>
            </w:r>
            <w:r w:rsidR="009528FB">
              <w:rPr>
                <w:noProof/>
              </w:rPr>
              <w:t>3</w:t>
            </w:r>
            <w:r>
              <w:rPr>
                <w:noProof/>
              </w:rPr>
              <w:t>.25</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9528FB">
            <w:r>
              <w:rPr>
                <w:noProof/>
              </w:rPr>
              <w:t>5.66</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AD1EF5" w:rsidP="009528FB">
            <w:r>
              <w:rPr>
                <w:noProof/>
              </w:rPr>
              <w:t>.</w:t>
            </w:r>
            <w:r w:rsidR="009528FB">
              <w:rPr>
                <w:noProof/>
              </w:rPr>
              <w:t>0</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9528FB" w:rsidP="00AD1EF5">
            <w:r>
              <w:rPr>
                <w:noProof/>
              </w:rPr>
              <w:t>18.91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AD1EF5" w:rsidP="009528FB">
            <w:r>
              <w:rPr>
                <w:noProof/>
              </w:rPr>
              <w:t>7</w:t>
            </w:r>
            <w:r w:rsidR="009528FB">
              <w:rPr>
                <w:noProof/>
              </w:rPr>
              <w:t>0</w:t>
            </w:r>
            <w:r>
              <w:rPr>
                <w:noProof/>
              </w:rPr>
              <w:t>%</w:t>
            </w:r>
          </w:p>
        </w:tc>
      </w:tr>
    </w:tbl>
    <w:p w:rsidR="008D46F2" w:rsidRDefault="008D46F2" w:rsidP="008D46F2">
      <w:pPr>
        <w:pStyle w:val="FieldText"/>
      </w:pPr>
      <w:r>
        <w:t xml:space="preserve">Faculty: </w:t>
      </w:r>
    </w:p>
    <w:p w:rsidR="008D46F2" w:rsidRDefault="008D46F2" w:rsidP="008D46F2">
      <w:pPr>
        <w:pStyle w:val="FieldText"/>
      </w:pPr>
      <w:r>
        <w:t xml:space="preserve">DSPS Fulltime: Sanchez, Green, Maxwell, Rex, Rowland, Silva. ………………………………..6.6 </w:t>
      </w:r>
    </w:p>
    <w:p w:rsidR="008D46F2" w:rsidRDefault="008D46F2" w:rsidP="008D46F2">
      <w:pPr>
        <w:pStyle w:val="FieldText"/>
      </w:pPr>
      <w:r>
        <w:t>DSPS Part-time: Robbiano (Fall 2011 only), Fearn, Tappe………………………………………...1.5</w:t>
      </w:r>
    </w:p>
    <w:p w:rsidR="008D46F2" w:rsidRDefault="008D46F2" w:rsidP="008D46F2">
      <w:pPr>
        <w:pStyle w:val="FieldText"/>
      </w:pPr>
      <w:r>
        <w:t>EOPS: Shaughnessy………………………………………………………………………………………1.0</w:t>
      </w:r>
    </w:p>
    <w:p w:rsidR="008D46F2" w:rsidRDefault="008D46F2" w:rsidP="008D46F2">
      <w:pPr>
        <w:pStyle w:val="FieldText"/>
      </w:pPr>
      <w:r>
        <w:t>EOPS Part-time: West, Carey, Canady……………………………………………………………….1.0</w:t>
      </w:r>
    </w:p>
    <w:p w:rsidR="008D46F2" w:rsidRDefault="008D46F2" w:rsidP="008D46F2">
      <w:pPr>
        <w:pStyle w:val="FieldText"/>
      </w:pPr>
      <w:r>
        <w:t>Health: Dudley (on leave to PFT/District 2011-2012) ………………………………………………1.0</w:t>
      </w:r>
    </w:p>
    <w:p w:rsidR="008D46F2" w:rsidRDefault="008D46F2" w:rsidP="008D46F2">
      <w:pPr>
        <w:pStyle w:val="FieldText"/>
      </w:pPr>
      <w:r>
        <w:t xml:space="preserve">Athletics Fulltime: Jordan .35;…………………………………………………………………………..0.35 </w:t>
      </w:r>
    </w:p>
    <w:p w:rsidR="008D46F2" w:rsidRDefault="008D46F2" w:rsidP="008D46F2">
      <w:pPr>
        <w:pStyle w:val="FieldText"/>
      </w:pPr>
      <w:r>
        <w:t>Athletics part-time: Thompson .16……………………………………………………………………….0.16</w:t>
      </w:r>
    </w:p>
    <w:p w:rsidR="008D46F2" w:rsidRDefault="008D46F2" w:rsidP="008D46F2">
      <w:pPr>
        <w:pStyle w:val="FieldText"/>
      </w:pPr>
      <w:r>
        <w:t>Counseling Fulltime: Elaidy, Thompson, Corrales, Virrkila (Articulation/Transfer)……………..4.3</w:t>
      </w:r>
    </w:p>
    <w:p w:rsidR="008D46F2" w:rsidRDefault="008D46F2" w:rsidP="008D46F2">
      <w:pPr>
        <w:pStyle w:val="FieldText"/>
      </w:pPr>
      <w:r>
        <w:t>Counseling Part-time: Brooks, Appleby, Cobb, Carmichael…………………………………………1.0</w:t>
      </w:r>
    </w:p>
    <w:p w:rsidR="008D46F2" w:rsidRDefault="008D46F2" w:rsidP="008D46F2">
      <w:pPr>
        <w:pStyle w:val="FieldText"/>
      </w:pPr>
      <w:r>
        <w:lastRenderedPageBreak/>
        <w:t>Student Leadership Part-time: Renteria………………………………………………………………….0.5</w:t>
      </w:r>
    </w:p>
    <w:p w:rsidR="008D46F2" w:rsidRDefault="008D46F2" w:rsidP="008D46F2">
      <w:pPr>
        <w:pStyle w:val="FieldText"/>
      </w:pPr>
      <w:r>
        <w:t>Learning Communities Counselors Part-time…………………………………………………………1.5</w:t>
      </w:r>
    </w:p>
    <w:p w:rsidR="00B63AF8" w:rsidRDefault="00B63AF8"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t>Faculty Data Comparables</w:t>
            </w:r>
            <w:r w:rsidR="00D86236">
              <w:rPr>
                <w:color w:val="auto"/>
              </w:rPr>
              <w:t xml:space="preserve"> F201</w:t>
            </w:r>
            <w:r w:rsidR="00AA2312">
              <w:rPr>
                <w:color w:val="auto"/>
              </w:rPr>
              <w:t>1</w:t>
            </w:r>
            <w:r w:rsidR="00AD1EF5">
              <w:rPr>
                <w:color w:val="auto"/>
              </w:rPr>
              <w:t xml:space="preserve"> data not available</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Contract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Hourly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Extra Service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Total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 Contract/Total</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0D38DA">
        <w:trPr>
          <w:trHeight w:val="288"/>
          <w:tblCellSpacing w:w="20" w:type="dxa"/>
        </w:trPr>
        <w:tc>
          <w:tcPr>
            <w:tcW w:w="5908" w:type="dxa"/>
            <w:gridSpan w:val="2"/>
            <w:shd w:val="clear" w:color="auto" w:fill="auto"/>
          </w:tcPr>
          <w:p w:rsidR="00E837BF" w:rsidRPr="00BB4DEE" w:rsidRDefault="00E837BF" w:rsidP="000D38DA">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b/>
                <w:i w:val="0"/>
                <w:sz w:val="20"/>
                <w:szCs w:val="20"/>
              </w:rPr>
            </w:pPr>
          </w:p>
        </w:tc>
        <w:tc>
          <w:tcPr>
            <w:tcW w:w="2179" w:type="dxa"/>
            <w:shd w:val="clear" w:color="auto" w:fill="auto"/>
          </w:tcPr>
          <w:p w:rsidR="00E837BF" w:rsidRPr="00BB4DEE" w:rsidRDefault="00E837BF" w:rsidP="000D38DA">
            <w:pPr>
              <w:keepLines/>
              <w:jc w:val="center"/>
              <w:rPr>
                <w:b/>
                <w:sz w:val="20"/>
                <w:szCs w:val="20"/>
              </w:rPr>
            </w:pPr>
            <w:r w:rsidRPr="00BB4DEE">
              <w:rPr>
                <w:b/>
                <w:sz w:val="20"/>
                <w:szCs w:val="20"/>
              </w:rPr>
              <w:t>Fall 201</w:t>
            </w:r>
            <w:r>
              <w:rPr>
                <w:b/>
                <w:sz w:val="20"/>
                <w:szCs w:val="20"/>
              </w:rPr>
              <w:t>1</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Contract FTE</w:t>
            </w:r>
          </w:p>
        </w:tc>
        <w:tc>
          <w:tcPr>
            <w:tcW w:w="2179" w:type="dxa"/>
            <w:shd w:val="clear" w:color="auto" w:fill="auto"/>
          </w:tcPr>
          <w:p w:rsidR="00E837BF" w:rsidRDefault="00AD1EF5" w:rsidP="000D38DA">
            <w:r>
              <w:rPr>
                <w:noProof/>
              </w:rPr>
              <w:t>7.</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Hourly FTE</w:t>
            </w:r>
          </w:p>
        </w:tc>
        <w:tc>
          <w:tcPr>
            <w:tcW w:w="2179" w:type="dxa"/>
            <w:shd w:val="clear" w:color="auto" w:fill="auto"/>
          </w:tcPr>
          <w:p w:rsidR="00E837BF" w:rsidRDefault="00AD1EF5" w:rsidP="000D38DA">
            <w:r>
              <w:rPr>
                <w:noProof/>
              </w:rPr>
              <w:t>2.</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Extra Service FTE</w:t>
            </w:r>
          </w:p>
        </w:tc>
        <w:tc>
          <w:tcPr>
            <w:tcW w:w="2179" w:type="dxa"/>
            <w:shd w:val="clear" w:color="auto" w:fill="auto"/>
          </w:tcPr>
          <w:p w:rsidR="00E837BF" w:rsidRDefault="00AD1EF5" w:rsidP="000D38DA">
            <w:r>
              <w:rPr>
                <w:noProof/>
              </w:rPr>
              <w:t>n/a</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Total FTE</w:t>
            </w:r>
          </w:p>
        </w:tc>
        <w:tc>
          <w:tcPr>
            <w:tcW w:w="2179" w:type="dxa"/>
            <w:shd w:val="clear" w:color="auto" w:fill="auto"/>
          </w:tcPr>
          <w:p w:rsidR="00E837BF" w:rsidRDefault="00E837BF" w:rsidP="000D38DA">
            <w:r w:rsidRPr="00872014">
              <w:rPr>
                <w:noProof/>
              </w:rPr>
              <w:t>data</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AD1EF5" w:rsidP="000D38DA">
            <w:r>
              <w:rPr>
                <w:noProof/>
              </w:rPr>
              <w:t>3.5</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xml:space="preserve">Number of </w:t>
            </w:r>
            <w:r w:rsidR="00AD1EF5">
              <w:rPr>
                <w:b w:val="0"/>
                <w:sz w:val="24"/>
                <w:szCs w:val="24"/>
              </w:rPr>
              <w:t>departments in divisions</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pPr>
            <w:r>
              <w:t>13</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rPr>
                <w:noProof/>
              </w:rPr>
            </w:pPr>
            <w:r>
              <w:rPr>
                <w:noProof/>
              </w:rPr>
              <w:t>13</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SLOs/</w:t>
            </w:r>
            <w:r w:rsidR="00AD1EF5">
              <w:rPr>
                <w:b w:val="0"/>
                <w:sz w:val="24"/>
                <w:szCs w:val="24"/>
              </w:rPr>
              <w:t>departments</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rPr>
                <w:noProof/>
              </w:rPr>
            </w:pPr>
            <w:r>
              <w:rPr>
                <w:noProof/>
              </w:rPr>
              <w:t>100%</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rPr>
                <w:noProof/>
              </w:rPr>
            </w:pPr>
            <w:r>
              <w:rPr>
                <w:noProof/>
              </w:rPr>
              <w:t>survey</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r w:rsidR="00AD1EF5">
              <w:rPr>
                <w:b/>
              </w:rPr>
              <w:t xml:space="preserve"> n/a</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182A8E" w:rsidP="00182A8E">
            <w:pPr>
              <w:keepNext/>
              <w:keepLines/>
            </w:pP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182A8E" w:rsidP="00182A8E">
            <w:pPr>
              <w:keepNext/>
              <w:keepLines/>
              <w:rPr>
                <w:noProof/>
              </w:rPr>
            </w:pPr>
          </w:p>
        </w:tc>
      </w:tr>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182A8E" w:rsidRPr="00FD6D29" w:rsidRDefault="00CD4EC0" w:rsidP="00182A8E">
            <w:pPr>
              <w:keepNext/>
              <w:keepLines/>
            </w:pPr>
            <w:r>
              <w:t>All</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Build Programs of Distinction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CD4EC0" w:rsidP="00182A8E">
            <w:pPr>
              <w:keepNext/>
              <w:keepLines/>
              <w:rPr>
                <w:noProof/>
              </w:rPr>
            </w:pPr>
            <w:r>
              <w:rPr>
                <w:noProof/>
              </w:rPr>
              <w:t>All</w:t>
            </w: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CD4EC0" w:rsidP="00182A8E">
            <w:pPr>
              <w:keepNext/>
              <w:keepLines/>
            </w:pPr>
            <w:r>
              <w:t>none</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CD4EC0" w:rsidP="00182A8E">
            <w:pPr>
              <w:keepNext/>
              <w:keepLines/>
              <w:rPr>
                <w:noProof/>
              </w:rPr>
            </w:pPr>
            <w:r>
              <w:rPr>
                <w:noProof/>
              </w:rPr>
              <w:t>all</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lastRenderedPageBreak/>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9528FB" w:rsidRPr="008D46F2" w:rsidRDefault="009528FB" w:rsidP="009528FB">
            <w:pPr>
              <w:rPr>
                <w:rFonts w:cs="Arial"/>
                <w:sz w:val="20"/>
              </w:rPr>
            </w:pPr>
            <w:r w:rsidRPr="008D46F2">
              <w:rPr>
                <w:rFonts w:cs="Arial"/>
                <w:sz w:val="20"/>
              </w:rPr>
              <w:t>McIntyre Environmental Scan: Student services can significantly contribute to overall enrollment management.</w:t>
            </w:r>
          </w:p>
          <w:p w:rsidR="00182A8E" w:rsidRPr="008D46F2" w:rsidRDefault="00182A8E" w:rsidP="00182A8E">
            <w:pPr>
              <w:keepNext/>
              <w:keepLines/>
              <w:rPr>
                <w:rFonts w:cs="Arial"/>
              </w:rPr>
            </w:pP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9528FB" w:rsidRPr="008D46F2" w:rsidRDefault="009528FB" w:rsidP="009528FB">
            <w:pPr>
              <w:rPr>
                <w:rFonts w:cs="Arial"/>
                <w:sz w:val="20"/>
                <w:szCs w:val="20"/>
              </w:rPr>
            </w:pPr>
            <w:r w:rsidRPr="008D46F2">
              <w:rPr>
                <w:rFonts w:cs="Arial"/>
                <w:sz w:val="20"/>
                <w:szCs w:val="20"/>
              </w:rPr>
              <w:t>McIntyre Environmental Scan: Student services can significantly contribute to overall enrollment management.</w:t>
            </w:r>
          </w:p>
          <w:p w:rsidR="00182A8E" w:rsidRPr="00FD6D29" w:rsidRDefault="009528FB" w:rsidP="00182A8E">
            <w:pPr>
              <w:keepNext/>
              <w:keepLines/>
              <w:rPr>
                <w:noProof/>
              </w:rPr>
            </w:pPr>
            <w:r w:rsidRPr="008D46F2">
              <w:rPr>
                <w:rFonts w:cs="Arial"/>
                <w:noProof/>
                <w:sz w:val="20"/>
                <w:szCs w:val="20"/>
              </w:rPr>
              <w:t>Basic Skills Learning communities  have higher persistence and retention.</w:t>
            </w: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983"/>
        <w:gridCol w:w="40"/>
        <w:gridCol w:w="5297"/>
        <w:gridCol w:w="86"/>
      </w:tblGrid>
      <w:tr w:rsidR="00182A8E" w:rsidRPr="00FD6D29" w:rsidTr="008D46F2">
        <w:trPr>
          <w:gridAfter w:val="1"/>
          <w:wAfter w:w="26" w:type="dxa"/>
          <w:trHeight w:val="288"/>
          <w:tblCellSpacing w:w="20" w:type="dxa"/>
        </w:trPr>
        <w:tc>
          <w:tcPr>
            <w:tcW w:w="10260" w:type="dxa"/>
            <w:gridSpan w:val="3"/>
            <w:shd w:val="clear" w:color="auto" w:fill="auto"/>
          </w:tcPr>
          <w:p w:rsidR="00182A8E" w:rsidRPr="00D26C60" w:rsidRDefault="00182A8E" w:rsidP="000A2D0B">
            <w:pPr>
              <w:pStyle w:val="ListParagraph"/>
              <w:keepNext/>
              <w:keepLines/>
              <w:numPr>
                <w:ilvl w:val="0"/>
                <w:numId w:val="12"/>
              </w:numPr>
              <w:rPr>
                <w:b/>
              </w:rPr>
            </w:pPr>
            <w:r>
              <w:rPr>
                <w:b/>
              </w:rPr>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8D46F2">
        <w:trPr>
          <w:gridAfter w:val="1"/>
          <w:wAfter w:w="26" w:type="dxa"/>
          <w:trHeight w:val="288"/>
          <w:tblCellSpacing w:w="20" w:type="dxa"/>
        </w:trPr>
        <w:tc>
          <w:tcPr>
            <w:tcW w:w="4963" w:type="dxa"/>
            <w:gridSpan w:val="2"/>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257" w:type="dxa"/>
            <w:shd w:val="clear" w:color="auto" w:fill="auto"/>
          </w:tcPr>
          <w:p w:rsidR="008D46F2" w:rsidRPr="008D46F2" w:rsidRDefault="008D46F2" w:rsidP="008D46F2">
            <w:pPr>
              <w:rPr>
                <w:rFonts w:cs="Arial"/>
                <w:sz w:val="20"/>
              </w:rPr>
            </w:pPr>
            <w:r w:rsidRPr="008D46F2">
              <w:rPr>
                <w:rFonts w:cs="Arial"/>
                <w:sz w:val="20"/>
              </w:rPr>
              <w:t>Support the continuing implementation of the PASSPORT Student Administration system.</w:t>
            </w:r>
          </w:p>
          <w:p w:rsidR="008D46F2" w:rsidRPr="008D46F2" w:rsidRDefault="008D46F2" w:rsidP="008D46F2">
            <w:pPr>
              <w:rPr>
                <w:rFonts w:cs="Arial"/>
                <w:sz w:val="20"/>
                <w:szCs w:val="22"/>
              </w:rPr>
            </w:pPr>
            <w:r w:rsidRPr="008D46F2">
              <w:rPr>
                <w:rFonts w:cs="Arial"/>
                <w:sz w:val="20"/>
                <w:szCs w:val="22"/>
              </w:rPr>
              <w:t xml:space="preserve">Student Services will support College of Alameda’s enrollment goal for the 2012-2013 Academic Year.   </w:t>
            </w:r>
          </w:p>
          <w:p w:rsidR="008D46F2" w:rsidRPr="008D46F2" w:rsidRDefault="008D46F2" w:rsidP="008D46F2">
            <w:pPr>
              <w:rPr>
                <w:rFonts w:cs="Arial"/>
                <w:sz w:val="20"/>
                <w:szCs w:val="22"/>
              </w:rPr>
            </w:pPr>
            <w:r w:rsidRPr="008D46F2">
              <w:rPr>
                <w:rFonts w:cs="Arial"/>
                <w:sz w:val="20"/>
                <w:szCs w:val="22"/>
              </w:rPr>
              <w:t xml:space="preserve">COA will increase the numbers of EOPS students up to the state cap </w:t>
            </w:r>
          </w:p>
          <w:p w:rsidR="008D46F2" w:rsidRPr="008D46F2" w:rsidRDefault="008D46F2" w:rsidP="008D46F2">
            <w:pPr>
              <w:rPr>
                <w:rFonts w:cs="Arial"/>
                <w:sz w:val="20"/>
                <w:szCs w:val="22"/>
              </w:rPr>
            </w:pPr>
            <w:r w:rsidRPr="008D46F2">
              <w:rPr>
                <w:rFonts w:cs="Arial"/>
                <w:sz w:val="20"/>
                <w:szCs w:val="22"/>
              </w:rPr>
              <w:t>Increase the effectiveness of partnerships with Alameda County WIB, the Social Services Agency, and AUSD and OUSD.</w:t>
            </w:r>
          </w:p>
          <w:p w:rsidR="008D46F2" w:rsidRPr="008D46F2" w:rsidRDefault="008D46F2" w:rsidP="008D46F2">
            <w:pPr>
              <w:pStyle w:val="BodyText"/>
              <w:rPr>
                <w:rFonts w:cs="Arial"/>
                <w:sz w:val="20"/>
              </w:rPr>
            </w:pPr>
            <w:r w:rsidRPr="008D46F2">
              <w:rPr>
                <w:rFonts w:cs="Arial"/>
                <w:sz w:val="20"/>
              </w:rPr>
              <w:t>Provide staff development to all units in order to develop a model of service delivery that is student centered and customer focused.</w:t>
            </w:r>
          </w:p>
          <w:p w:rsidR="008D46F2" w:rsidRPr="008D46F2" w:rsidRDefault="008D46F2" w:rsidP="008D46F2">
            <w:pPr>
              <w:rPr>
                <w:rFonts w:cs="Arial"/>
                <w:sz w:val="20"/>
              </w:rPr>
            </w:pPr>
            <w:r w:rsidRPr="008D46F2">
              <w:rPr>
                <w:rFonts w:cs="Arial"/>
                <w:sz w:val="20"/>
              </w:rPr>
              <w:t xml:space="preserve">Continue evaluation as an integral part of program planning and implementation. </w:t>
            </w:r>
          </w:p>
          <w:p w:rsidR="008D46F2" w:rsidRPr="008D46F2" w:rsidRDefault="008D46F2" w:rsidP="008D46F2">
            <w:pPr>
              <w:rPr>
                <w:rFonts w:cs="Arial"/>
                <w:sz w:val="20"/>
              </w:rPr>
            </w:pPr>
            <w:r w:rsidRPr="008D46F2">
              <w:rPr>
                <w:rFonts w:cs="Arial"/>
                <w:sz w:val="20"/>
              </w:rPr>
              <w:t>Implement program initiatives that reflect maximal utilization of limited human and fiscal resources.</w:t>
            </w:r>
          </w:p>
          <w:p w:rsidR="008D46F2" w:rsidRPr="008D46F2" w:rsidRDefault="008D46F2" w:rsidP="008D46F2">
            <w:pPr>
              <w:rPr>
                <w:rFonts w:cs="Arial"/>
                <w:sz w:val="20"/>
              </w:rPr>
            </w:pPr>
            <w:r w:rsidRPr="008D46F2">
              <w:rPr>
                <w:rFonts w:cs="Arial"/>
                <w:sz w:val="20"/>
              </w:rPr>
              <w:t xml:space="preserve">Continue to work with the Office of Instruction on the enrollment management plan (Student Success Initiative, Basic skills Initiative and Student Equity Plan) to ensure recruitment and retention of students. </w:t>
            </w:r>
          </w:p>
          <w:p w:rsidR="008D46F2" w:rsidRDefault="008D46F2" w:rsidP="008D46F2">
            <w:pPr>
              <w:rPr>
                <w:rFonts w:ascii="Times New Roman" w:hAnsi="Times New Roman"/>
                <w:sz w:val="20"/>
              </w:rPr>
            </w:pPr>
            <w:r w:rsidRPr="008D46F2">
              <w:rPr>
                <w:rFonts w:cs="Arial"/>
                <w:sz w:val="20"/>
              </w:rPr>
              <w:t>Continue to work with the new Institutional Effectivensss committee to engage in continuous assessment of the college</w:t>
            </w:r>
            <w:r>
              <w:rPr>
                <w:rFonts w:ascii="Times New Roman" w:hAnsi="Times New Roman"/>
                <w:sz w:val="20"/>
              </w:rPr>
              <w:t>.</w:t>
            </w:r>
          </w:p>
          <w:p w:rsidR="00182A8E" w:rsidRPr="00FD6D29" w:rsidRDefault="00182A8E" w:rsidP="00182A8E">
            <w:pPr>
              <w:keepNext/>
              <w:keepLines/>
            </w:pPr>
          </w:p>
        </w:tc>
      </w:tr>
      <w:tr w:rsidR="008811A9" w:rsidRPr="00FD6D29" w:rsidTr="008D46F2">
        <w:trPr>
          <w:gridAfter w:val="1"/>
          <w:wAfter w:w="26" w:type="dxa"/>
          <w:trHeight w:val="288"/>
          <w:tblCellSpacing w:w="20" w:type="dxa"/>
        </w:trPr>
        <w:tc>
          <w:tcPr>
            <w:tcW w:w="4963" w:type="dxa"/>
            <w:gridSpan w:val="2"/>
            <w:shd w:val="clear" w:color="auto" w:fill="auto"/>
          </w:tcPr>
          <w:p w:rsidR="008811A9" w:rsidRDefault="000A2D0B" w:rsidP="00182A8E">
            <w:pPr>
              <w:rPr>
                <w:sz w:val="20"/>
                <w:szCs w:val="20"/>
              </w:rPr>
            </w:pPr>
            <w:r>
              <w:rPr>
                <w:sz w:val="20"/>
                <w:szCs w:val="20"/>
              </w:rPr>
              <w:t>Data Source – Assessment Findings</w:t>
            </w:r>
          </w:p>
        </w:tc>
        <w:tc>
          <w:tcPr>
            <w:tcW w:w="5257" w:type="dxa"/>
            <w:shd w:val="clear" w:color="auto" w:fill="auto"/>
          </w:tcPr>
          <w:p w:rsidR="008811A9" w:rsidRDefault="008811A9"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BI Data</w:t>
            </w:r>
          </w:p>
        </w:tc>
        <w:tc>
          <w:tcPr>
            <w:tcW w:w="5257" w:type="dxa"/>
            <w:shd w:val="clear" w:color="auto" w:fill="auto"/>
          </w:tcPr>
          <w:p w:rsidR="000A2D0B" w:rsidRDefault="000A2D0B"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Institutional Goals</w:t>
            </w:r>
          </w:p>
        </w:tc>
        <w:tc>
          <w:tcPr>
            <w:tcW w:w="5257" w:type="dxa"/>
            <w:shd w:val="clear" w:color="auto" w:fill="auto"/>
          </w:tcPr>
          <w:p w:rsidR="000A2D0B" w:rsidRDefault="008D46F2" w:rsidP="00182A8E">
            <w:pPr>
              <w:keepNext/>
              <w:keepLines/>
            </w:pPr>
            <w:r>
              <w:t>x</w:t>
            </w: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Other Data Sources</w:t>
            </w:r>
          </w:p>
        </w:tc>
        <w:tc>
          <w:tcPr>
            <w:tcW w:w="5257" w:type="dxa"/>
            <w:shd w:val="clear" w:color="auto" w:fill="auto"/>
          </w:tcPr>
          <w:p w:rsidR="000A2D0B" w:rsidRDefault="000A2D0B" w:rsidP="00182A8E">
            <w:pPr>
              <w:keepNext/>
              <w:keepLines/>
            </w:pPr>
          </w:p>
        </w:tc>
      </w:tr>
      <w:tr w:rsidR="00182A8E" w:rsidRPr="00FD6D29" w:rsidTr="008D46F2">
        <w:tblPrEx>
          <w:tblLook w:val="0100"/>
        </w:tblPrEx>
        <w:trPr>
          <w:trHeight w:val="288"/>
          <w:tblCellSpacing w:w="20" w:type="dxa"/>
        </w:trPr>
        <w:tc>
          <w:tcPr>
            <w:tcW w:w="10326" w:type="dxa"/>
            <w:gridSpan w:val="4"/>
            <w:shd w:val="clear" w:color="auto" w:fill="auto"/>
          </w:tcPr>
          <w:p w:rsidR="008811A9" w:rsidRPr="008811A9" w:rsidRDefault="00182A8E" w:rsidP="00182A8E">
            <w:pPr>
              <w:pStyle w:val="ListParagraph"/>
              <w:keepNext/>
              <w:keepLines/>
              <w:numPr>
                <w:ilvl w:val="0"/>
                <w:numId w:val="12"/>
              </w:numPr>
              <w:rPr>
                <w:b/>
              </w:rPr>
            </w:pPr>
            <w:r>
              <w:rPr>
                <w:b/>
                <w:sz w:val="22"/>
                <w:szCs w:val="22"/>
              </w:rPr>
              <w:lastRenderedPageBreak/>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Pr="008D46F2" w:rsidRDefault="005F6C79" w:rsidP="00182A8E">
            <w:pPr>
              <w:keepNext/>
              <w:keepLines/>
              <w:rPr>
                <w:sz w:val="20"/>
                <w:szCs w:val="20"/>
              </w:rPr>
            </w:pPr>
            <w:r w:rsidRPr="008D46F2">
              <w:rPr>
                <w:sz w:val="20"/>
                <w:szCs w:val="20"/>
              </w:rPr>
              <w:t>Funds for events and college marketing materials</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Pr="008D46F2" w:rsidRDefault="005F6C79" w:rsidP="005F6C79">
            <w:pPr>
              <w:pStyle w:val="ListParagraph"/>
              <w:keepNext/>
              <w:keepLines/>
              <w:numPr>
                <w:ilvl w:val="0"/>
                <w:numId w:val="16"/>
              </w:numPr>
              <w:rPr>
                <w:noProof/>
                <w:sz w:val="20"/>
                <w:szCs w:val="20"/>
              </w:rPr>
            </w:pPr>
            <w:r w:rsidRPr="008D46F2">
              <w:rPr>
                <w:noProof/>
                <w:sz w:val="20"/>
                <w:szCs w:val="20"/>
              </w:rPr>
              <w:t>FTE Staff Assistant for Dean of Enrollment Services</w:t>
            </w:r>
          </w:p>
          <w:p w:rsidR="005F6C79" w:rsidRPr="008D46F2" w:rsidRDefault="005F6C79" w:rsidP="005F6C79">
            <w:pPr>
              <w:pStyle w:val="ListParagraph"/>
              <w:keepNext/>
              <w:keepLines/>
              <w:numPr>
                <w:ilvl w:val="0"/>
                <w:numId w:val="17"/>
              </w:numPr>
              <w:rPr>
                <w:noProof/>
                <w:sz w:val="20"/>
                <w:szCs w:val="20"/>
              </w:rPr>
            </w:pPr>
            <w:r w:rsidRPr="008D46F2">
              <w:rPr>
                <w:noProof/>
                <w:sz w:val="20"/>
                <w:szCs w:val="20"/>
              </w:rPr>
              <w:t>FTE Generalist for Welcome Center</w:t>
            </w:r>
          </w:p>
          <w:p w:rsidR="005F6C79" w:rsidRPr="008D46F2" w:rsidRDefault="005F6C79" w:rsidP="005F6C79">
            <w:pPr>
              <w:pStyle w:val="ListParagraph"/>
              <w:keepNext/>
              <w:keepLines/>
              <w:numPr>
                <w:ilvl w:val="0"/>
                <w:numId w:val="18"/>
              </w:numPr>
              <w:rPr>
                <w:noProof/>
                <w:sz w:val="20"/>
                <w:szCs w:val="20"/>
              </w:rPr>
            </w:pPr>
            <w:r w:rsidRPr="008D46F2">
              <w:rPr>
                <w:noProof/>
                <w:sz w:val="20"/>
                <w:szCs w:val="20"/>
              </w:rPr>
              <w:t>Outreach Specialist</w:t>
            </w:r>
          </w:p>
          <w:p w:rsidR="005F6C79" w:rsidRPr="008D46F2" w:rsidRDefault="005F6C79" w:rsidP="005F6C79">
            <w:pPr>
              <w:keepNext/>
              <w:keepLines/>
              <w:rPr>
                <w:noProof/>
                <w:sz w:val="20"/>
                <w:szCs w:val="20"/>
              </w:rPr>
            </w:pPr>
            <w:r w:rsidRPr="008D46F2">
              <w:rPr>
                <w:noProof/>
                <w:sz w:val="20"/>
                <w:szCs w:val="20"/>
              </w:rPr>
              <w:t>Student Ambassadors for Outreach, Welcome Center: $100,000</w:t>
            </w:r>
          </w:p>
        </w:tc>
      </w:tr>
      <w:tr w:rsidR="00182A8E"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Pr="008D46F2" w:rsidRDefault="005F6C79" w:rsidP="00182A8E">
            <w:pPr>
              <w:keepNext/>
              <w:keepLines/>
              <w:rPr>
                <w:noProof/>
                <w:sz w:val="20"/>
                <w:szCs w:val="20"/>
              </w:rPr>
            </w:pPr>
            <w:r w:rsidRPr="008D46F2">
              <w:rPr>
                <w:noProof/>
                <w:sz w:val="20"/>
                <w:szCs w:val="20"/>
              </w:rPr>
              <w:t>Airconditioning system for A building</w:t>
            </w:r>
          </w:p>
        </w:tc>
      </w:tr>
      <w:tr w:rsidR="000A1145" w:rsidTr="008D46F2">
        <w:tblPrEx>
          <w:tblLook w:val="0100"/>
        </w:tblPrEx>
        <w:trPr>
          <w:trHeight w:val="288"/>
          <w:tblCellSpacing w:w="20" w:type="dxa"/>
        </w:trPr>
        <w:tc>
          <w:tcPr>
            <w:tcW w:w="4923" w:type="dxa"/>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5363" w:type="dxa"/>
            <w:gridSpan w:val="3"/>
            <w:shd w:val="clear" w:color="auto" w:fill="auto"/>
          </w:tcPr>
          <w:p w:rsidR="000A1145" w:rsidRPr="008D46F2" w:rsidRDefault="005F6C79" w:rsidP="00182A8E">
            <w:pPr>
              <w:keepNext/>
              <w:keepLines/>
              <w:rPr>
                <w:noProof/>
                <w:sz w:val="20"/>
                <w:szCs w:val="20"/>
              </w:rPr>
            </w:pPr>
            <w:r w:rsidRPr="008D46F2">
              <w:rPr>
                <w:noProof/>
                <w:sz w:val="20"/>
                <w:szCs w:val="20"/>
              </w:rPr>
              <w:t>Replacement computers for Welcome Center (35)</w:t>
            </w:r>
          </w:p>
          <w:p w:rsidR="005F6C79" w:rsidRPr="008D46F2" w:rsidRDefault="005F6C79" w:rsidP="00182A8E">
            <w:pPr>
              <w:keepNext/>
              <w:keepLines/>
              <w:rPr>
                <w:noProof/>
                <w:sz w:val="20"/>
                <w:szCs w:val="20"/>
              </w:rPr>
            </w:pPr>
            <w:r w:rsidRPr="008D46F2">
              <w:rPr>
                <w:noProof/>
                <w:sz w:val="20"/>
                <w:szCs w:val="20"/>
              </w:rPr>
              <w:t>High capacity network printer for WC</w:t>
            </w:r>
          </w:p>
          <w:p w:rsidR="005F6C79" w:rsidRPr="008D46F2" w:rsidRDefault="005F6C79" w:rsidP="00182A8E">
            <w:pPr>
              <w:keepNext/>
              <w:keepLines/>
              <w:rPr>
                <w:noProof/>
                <w:sz w:val="20"/>
                <w:szCs w:val="20"/>
              </w:rPr>
            </w:pPr>
            <w:r w:rsidRPr="008D46F2">
              <w:rPr>
                <w:noProof/>
                <w:sz w:val="20"/>
                <w:szCs w:val="20"/>
              </w:rPr>
              <w:t>Student “smart card swipe system”</w:t>
            </w:r>
          </w:p>
          <w:p w:rsidR="005F6C79" w:rsidRPr="008D46F2" w:rsidRDefault="005F6C79" w:rsidP="00182A8E">
            <w:pPr>
              <w:keepNext/>
              <w:keepLines/>
              <w:rPr>
                <w:noProof/>
                <w:sz w:val="20"/>
                <w:szCs w:val="20"/>
              </w:rPr>
            </w:pPr>
            <w:r w:rsidRPr="008D46F2">
              <w:rPr>
                <w:noProof/>
                <w:sz w:val="20"/>
                <w:szCs w:val="20"/>
              </w:rPr>
              <w:t>ADA requirements: 30 sets of accessible furniture @$300/set (est.)</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Assessment Findings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BI Data</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Institutional Goals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Other Data Sources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AACJC Standard IIb</w:t>
            </w:r>
          </w:p>
        </w:tc>
      </w:tr>
    </w:tbl>
    <w:p w:rsidR="000A1B5F" w:rsidRDefault="000A1B5F" w:rsidP="008D46F2">
      <w:pPr>
        <w:pStyle w:val="FieldText"/>
      </w:pPr>
    </w:p>
    <w:sectPr w:rsidR="000A1B5F" w:rsidSect="000A1B5F">
      <w:headerReference w:type="default" r:id="rId8"/>
      <w:footerReference w:type="default" r:id="rId9"/>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EB4" w:rsidRDefault="004B7EB4" w:rsidP="000074EA">
      <w:r>
        <w:separator/>
      </w:r>
    </w:p>
  </w:endnote>
  <w:endnote w:type="continuationSeparator" w:id="1">
    <w:p w:rsidR="004B7EB4" w:rsidRDefault="004B7EB4"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537CA1" w:rsidRPr="00E96876">
      <w:rPr>
        <w:sz w:val="18"/>
        <w:szCs w:val="18"/>
      </w:rPr>
      <w:fldChar w:fldCharType="begin"/>
    </w:r>
    <w:r w:rsidRPr="00E96876">
      <w:rPr>
        <w:sz w:val="18"/>
        <w:szCs w:val="18"/>
      </w:rPr>
      <w:instrText xml:space="preserve"> PAGE </w:instrText>
    </w:r>
    <w:r w:rsidR="00537CA1" w:rsidRPr="00E96876">
      <w:rPr>
        <w:sz w:val="18"/>
        <w:szCs w:val="18"/>
      </w:rPr>
      <w:fldChar w:fldCharType="separate"/>
    </w:r>
    <w:r w:rsidR="00193584">
      <w:rPr>
        <w:noProof/>
        <w:sz w:val="18"/>
        <w:szCs w:val="18"/>
      </w:rPr>
      <w:t>1</w:t>
    </w:r>
    <w:r w:rsidR="00537CA1" w:rsidRPr="00E96876">
      <w:rPr>
        <w:sz w:val="18"/>
        <w:szCs w:val="18"/>
      </w:rPr>
      <w:fldChar w:fldCharType="end"/>
    </w:r>
    <w:r w:rsidRPr="00E96876">
      <w:rPr>
        <w:sz w:val="18"/>
        <w:szCs w:val="18"/>
      </w:rPr>
      <w:t xml:space="preserve"> of </w:t>
    </w:r>
    <w:r w:rsidR="00537CA1" w:rsidRPr="00E96876">
      <w:rPr>
        <w:sz w:val="18"/>
        <w:szCs w:val="18"/>
      </w:rPr>
      <w:fldChar w:fldCharType="begin"/>
    </w:r>
    <w:r w:rsidRPr="00E96876">
      <w:rPr>
        <w:sz w:val="18"/>
        <w:szCs w:val="18"/>
      </w:rPr>
      <w:instrText xml:space="preserve"> NUMPAGES </w:instrText>
    </w:r>
    <w:r w:rsidR="00537CA1" w:rsidRPr="00E96876">
      <w:rPr>
        <w:sz w:val="18"/>
        <w:szCs w:val="18"/>
      </w:rPr>
      <w:fldChar w:fldCharType="separate"/>
    </w:r>
    <w:r w:rsidR="00193584">
      <w:rPr>
        <w:noProof/>
        <w:sz w:val="18"/>
        <w:szCs w:val="18"/>
      </w:rPr>
      <w:t>6</w:t>
    </w:r>
    <w:r w:rsidR="00537CA1"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EB4" w:rsidRDefault="004B7EB4" w:rsidP="000074EA">
      <w:r>
        <w:separator/>
      </w:r>
    </w:p>
  </w:footnote>
  <w:footnote w:type="continuationSeparator" w:id="1">
    <w:p w:rsidR="004B7EB4" w:rsidRDefault="004B7EB4" w:rsidP="00007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6D" w:rsidRPr="00484828" w:rsidRDefault="00406B6D" w:rsidP="00406B6D">
    <w:pPr>
      <w:ind w:left="-270"/>
      <w:jc w:val="center"/>
    </w:pPr>
    <w:r w:rsidRPr="00484828">
      <w:rPr>
        <w:b/>
        <w:sz w:val="32"/>
        <w:szCs w:val="32"/>
      </w:rPr>
      <w:t>Peralta Community College District</w:t>
    </w:r>
  </w:p>
  <w:p w:rsidR="00406B6D" w:rsidRDefault="00406B6D" w:rsidP="00406B6D">
    <w:pPr>
      <w:pStyle w:val="Heading2"/>
      <w:jc w:val="center"/>
      <w:rPr>
        <w:sz w:val="32"/>
        <w:szCs w:val="32"/>
      </w:rPr>
    </w:pPr>
    <w:r>
      <w:rPr>
        <w:sz w:val="32"/>
        <w:szCs w:val="32"/>
      </w:rPr>
      <w:t xml:space="preserve">Revised </w:t>
    </w:r>
    <w:r w:rsidRPr="00484828">
      <w:rPr>
        <w:sz w:val="32"/>
        <w:szCs w:val="32"/>
      </w:rPr>
      <w:t>Annual Program Update Template 2011-2012</w:t>
    </w:r>
  </w:p>
  <w:p w:rsidR="00406B6D" w:rsidRPr="00406B6D" w:rsidRDefault="00406B6D" w:rsidP="00406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A66912"/>
    <w:multiLevelType w:val="multilevel"/>
    <w:tmpl w:val="6B6EE75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7934EFD"/>
    <w:multiLevelType w:val="multilevel"/>
    <w:tmpl w:val="2912EE4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65046"/>
    <w:multiLevelType w:val="multilevel"/>
    <w:tmpl w:val="9114537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1"/>
  </w:num>
  <w:num w:numId="15">
    <w:abstractNumId w:val="14"/>
  </w:num>
  <w:num w:numId="16">
    <w:abstractNumId w:val="12"/>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71F7"/>
    <w:rsid w:val="000074EA"/>
    <w:rsid w:val="00013178"/>
    <w:rsid w:val="000231C5"/>
    <w:rsid w:val="0002798A"/>
    <w:rsid w:val="00027E6C"/>
    <w:rsid w:val="0003343F"/>
    <w:rsid w:val="00037057"/>
    <w:rsid w:val="00037E8C"/>
    <w:rsid w:val="000406CB"/>
    <w:rsid w:val="00042B08"/>
    <w:rsid w:val="00045CB7"/>
    <w:rsid w:val="0005113F"/>
    <w:rsid w:val="00055858"/>
    <w:rsid w:val="0005735D"/>
    <w:rsid w:val="000615A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C1163"/>
    <w:rsid w:val="000D2539"/>
    <w:rsid w:val="000D56EE"/>
    <w:rsid w:val="000D6FF6"/>
    <w:rsid w:val="000E349C"/>
    <w:rsid w:val="000E6E61"/>
    <w:rsid w:val="000F1B6C"/>
    <w:rsid w:val="000F21CC"/>
    <w:rsid w:val="000F2DF4"/>
    <w:rsid w:val="000F6783"/>
    <w:rsid w:val="00102875"/>
    <w:rsid w:val="00103EF3"/>
    <w:rsid w:val="00104B99"/>
    <w:rsid w:val="00106000"/>
    <w:rsid w:val="00115DF1"/>
    <w:rsid w:val="00120506"/>
    <w:rsid w:val="00120C95"/>
    <w:rsid w:val="001458D9"/>
    <w:rsid w:val="0014663E"/>
    <w:rsid w:val="00146ACB"/>
    <w:rsid w:val="001505A2"/>
    <w:rsid w:val="0016086D"/>
    <w:rsid w:val="00160888"/>
    <w:rsid w:val="00172062"/>
    <w:rsid w:val="0017249A"/>
    <w:rsid w:val="00180664"/>
    <w:rsid w:val="00182A8E"/>
    <w:rsid w:val="0018460E"/>
    <w:rsid w:val="00193584"/>
    <w:rsid w:val="001A007A"/>
    <w:rsid w:val="001A00AC"/>
    <w:rsid w:val="001A07E1"/>
    <w:rsid w:val="001A31FE"/>
    <w:rsid w:val="001A6B1D"/>
    <w:rsid w:val="001D47E6"/>
    <w:rsid w:val="001E15BC"/>
    <w:rsid w:val="001F0207"/>
    <w:rsid w:val="001F1EB9"/>
    <w:rsid w:val="001F7C2F"/>
    <w:rsid w:val="00202BF8"/>
    <w:rsid w:val="00202C18"/>
    <w:rsid w:val="00205D6A"/>
    <w:rsid w:val="002123A6"/>
    <w:rsid w:val="002161DA"/>
    <w:rsid w:val="00217B44"/>
    <w:rsid w:val="00223DCF"/>
    <w:rsid w:val="00233F11"/>
    <w:rsid w:val="0023553B"/>
    <w:rsid w:val="0024310C"/>
    <w:rsid w:val="00250014"/>
    <w:rsid w:val="0025051B"/>
    <w:rsid w:val="00273761"/>
    <w:rsid w:val="002750D6"/>
    <w:rsid w:val="00275727"/>
    <w:rsid w:val="00275BB5"/>
    <w:rsid w:val="00277CF7"/>
    <w:rsid w:val="00283B9E"/>
    <w:rsid w:val="00286F6A"/>
    <w:rsid w:val="00291C8C"/>
    <w:rsid w:val="00296DD2"/>
    <w:rsid w:val="002A1ECE"/>
    <w:rsid w:val="002A2510"/>
    <w:rsid w:val="002B27FD"/>
    <w:rsid w:val="002B4D1D"/>
    <w:rsid w:val="002C10B1"/>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00A9"/>
    <w:rsid w:val="00323FCA"/>
    <w:rsid w:val="00325BB1"/>
    <w:rsid w:val="003270C7"/>
    <w:rsid w:val="00333ED5"/>
    <w:rsid w:val="0033501D"/>
    <w:rsid w:val="00335259"/>
    <w:rsid w:val="00341BB1"/>
    <w:rsid w:val="00342030"/>
    <w:rsid w:val="003425C3"/>
    <w:rsid w:val="003428B9"/>
    <w:rsid w:val="003476F3"/>
    <w:rsid w:val="003600B3"/>
    <w:rsid w:val="003620B5"/>
    <w:rsid w:val="00362352"/>
    <w:rsid w:val="003719A0"/>
    <w:rsid w:val="00377C2B"/>
    <w:rsid w:val="00380FF5"/>
    <w:rsid w:val="00381A4A"/>
    <w:rsid w:val="00382F46"/>
    <w:rsid w:val="003839DA"/>
    <w:rsid w:val="00383F5D"/>
    <w:rsid w:val="003869A3"/>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06B6D"/>
    <w:rsid w:val="00411AE7"/>
    <w:rsid w:val="00425DC9"/>
    <w:rsid w:val="004350F6"/>
    <w:rsid w:val="00437ED0"/>
    <w:rsid w:val="00440AC9"/>
    <w:rsid w:val="00440CD8"/>
    <w:rsid w:val="00443837"/>
    <w:rsid w:val="00443881"/>
    <w:rsid w:val="00450F66"/>
    <w:rsid w:val="00460FB3"/>
    <w:rsid w:val="00461739"/>
    <w:rsid w:val="00467865"/>
    <w:rsid w:val="00471CDE"/>
    <w:rsid w:val="00472120"/>
    <w:rsid w:val="00475A3B"/>
    <w:rsid w:val="00484828"/>
    <w:rsid w:val="0048685F"/>
    <w:rsid w:val="004900A2"/>
    <w:rsid w:val="00490F5E"/>
    <w:rsid w:val="004A1437"/>
    <w:rsid w:val="004A4198"/>
    <w:rsid w:val="004A54EA"/>
    <w:rsid w:val="004B0578"/>
    <w:rsid w:val="004B0E08"/>
    <w:rsid w:val="004B7EB4"/>
    <w:rsid w:val="004C139E"/>
    <w:rsid w:val="004C24ED"/>
    <w:rsid w:val="004D2367"/>
    <w:rsid w:val="004D702E"/>
    <w:rsid w:val="004E0651"/>
    <w:rsid w:val="004E34C6"/>
    <w:rsid w:val="004F62AD"/>
    <w:rsid w:val="00501AE8"/>
    <w:rsid w:val="00504B65"/>
    <w:rsid w:val="00510E7B"/>
    <w:rsid w:val="005114CE"/>
    <w:rsid w:val="0052122B"/>
    <w:rsid w:val="00531C46"/>
    <w:rsid w:val="00537CA1"/>
    <w:rsid w:val="00544F05"/>
    <w:rsid w:val="00547F19"/>
    <w:rsid w:val="005557F6"/>
    <w:rsid w:val="0056257B"/>
    <w:rsid w:val="00563778"/>
    <w:rsid w:val="005649E1"/>
    <w:rsid w:val="00565E6D"/>
    <w:rsid w:val="00570863"/>
    <w:rsid w:val="00572A4F"/>
    <w:rsid w:val="005833E3"/>
    <w:rsid w:val="0059011D"/>
    <w:rsid w:val="00596457"/>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C79"/>
    <w:rsid w:val="005F6E87"/>
    <w:rsid w:val="00602B7B"/>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64D3"/>
    <w:rsid w:val="006770CD"/>
    <w:rsid w:val="00682AB2"/>
    <w:rsid w:val="00685335"/>
    <w:rsid w:val="00686AC0"/>
    <w:rsid w:val="00692FAE"/>
    <w:rsid w:val="00694369"/>
    <w:rsid w:val="006B03BF"/>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54710"/>
    <w:rsid w:val="0075525B"/>
    <w:rsid w:val="007564F5"/>
    <w:rsid w:val="007602AC"/>
    <w:rsid w:val="007618D9"/>
    <w:rsid w:val="00763B3C"/>
    <w:rsid w:val="00765218"/>
    <w:rsid w:val="00765BFC"/>
    <w:rsid w:val="00767A38"/>
    <w:rsid w:val="00771443"/>
    <w:rsid w:val="00774B67"/>
    <w:rsid w:val="0078226F"/>
    <w:rsid w:val="00793AC6"/>
    <w:rsid w:val="007964EC"/>
    <w:rsid w:val="007A0171"/>
    <w:rsid w:val="007A2996"/>
    <w:rsid w:val="007A71DE"/>
    <w:rsid w:val="007B13AE"/>
    <w:rsid w:val="007B199B"/>
    <w:rsid w:val="007B6119"/>
    <w:rsid w:val="007B676F"/>
    <w:rsid w:val="007C7D6C"/>
    <w:rsid w:val="007D37AE"/>
    <w:rsid w:val="007E2A15"/>
    <w:rsid w:val="007E37A1"/>
    <w:rsid w:val="007E5682"/>
    <w:rsid w:val="007F3262"/>
    <w:rsid w:val="00805DEE"/>
    <w:rsid w:val="00806D6E"/>
    <w:rsid w:val="008107D6"/>
    <w:rsid w:val="008222FA"/>
    <w:rsid w:val="00833861"/>
    <w:rsid w:val="0083565F"/>
    <w:rsid w:val="00835D16"/>
    <w:rsid w:val="00836230"/>
    <w:rsid w:val="00841645"/>
    <w:rsid w:val="00844C41"/>
    <w:rsid w:val="008524C5"/>
    <w:rsid w:val="00852EC6"/>
    <w:rsid w:val="00853045"/>
    <w:rsid w:val="00853DD2"/>
    <w:rsid w:val="00877334"/>
    <w:rsid w:val="008811A9"/>
    <w:rsid w:val="00886E7F"/>
    <w:rsid w:val="00887346"/>
    <w:rsid w:val="0088782D"/>
    <w:rsid w:val="0089108A"/>
    <w:rsid w:val="008A15B5"/>
    <w:rsid w:val="008A3DF0"/>
    <w:rsid w:val="008B6F52"/>
    <w:rsid w:val="008B7081"/>
    <w:rsid w:val="008B7EFA"/>
    <w:rsid w:val="008C75A3"/>
    <w:rsid w:val="008C7F75"/>
    <w:rsid w:val="008D1EDC"/>
    <w:rsid w:val="008D46F2"/>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28FB"/>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E5"/>
    <w:rsid w:val="009B0BEC"/>
    <w:rsid w:val="009B6E85"/>
    <w:rsid w:val="009C220D"/>
    <w:rsid w:val="009C38D1"/>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A2312"/>
    <w:rsid w:val="00AA471C"/>
    <w:rsid w:val="00AC7718"/>
    <w:rsid w:val="00AD1545"/>
    <w:rsid w:val="00AD1EF5"/>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885"/>
    <w:rsid w:val="00B84A45"/>
    <w:rsid w:val="00B90EC2"/>
    <w:rsid w:val="00B92644"/>
    <w:rsid w:val="00BA19C5"/>
    <w:rsid w:val="00BA268F"/>
    <w:rsid w:val="00BB4DEE"/>
    <w:rsid w:val="00BB6337"/>
    <w:rsid w:val="00BD463D"/>
    <w:rsid w:val="00BD6F7F"/>
    <w:rsid w:val="00BE1552"/>
    <w:rsid w:val="00BE3859"/>
    <w:rsid w:val="00BF17F9"/>
    <w:rsid w:val="00C04E4B"/>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AA7"/>
    <w:rsid w:val="00CC4D9E"/>
    <w:rsid w:val="00CC5083"/>
    <w:rsid w:val="00CC52C6"/>
    <w:rsid w:val="00CC6598"/>
    <w:rsid w:val="00CC6BB1"/>
    <w:rsid w:val="00CD4EC0"/>
    <w:rsid w:val="00CE7E50"/>
    <w:rsid w:val="00CF4288"/>
    <w:rsid w:val="00D14E73"/>
    <w:rsid w:val="00D204C0"/>
    <w:rsid w:val="00D3260E"/>
    <w:rsid w:val="00D36FE7"/>
    <w:rsid w:val="00D41AD0"/>
    <w:rsid w:val="00D5404F"/>
    <w:rsid w:val="00D559FC"/>
    <w:rsid w:val="00D6155E"/>
    <w:rsid w:val="00D6188C"/>
    <w:rsid w:val="00D71F2A"/>
    <w:rsid w:val="00D7778A"/>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7FB7"/>
    <w:rsid w:val="00DF0236"/>
    <w:rsid w:val="00E00AA0"/>
    <w:rsid w:val="00E12274"/>
    <w:rsid w:val="00E13299"/>
    <w:rsid w:val="00E20DDA"/>
    <w:rsid w:val="00E27A9D"/>
    <w:rsid w:val="00E32A8B"/>
    <w:rsid w:val="00E35630"/>
    <w:rsid w:val="00E36054"/>
    <w:rsid w:val="00E37E7B"/>
    <w:rsid w:val="00E461F0"/>
    <w:rsid w:val="00E46E04"/>
    <w:rsid w:val="00E56E44"/>
    <w:rsid w:val="00E73183"/>
    <w:rsid w:val="00E75E59"/>
    <w:rsid w:val="00E837BF"/>
    <w:rsid w:val="00E85521"/>
    <w:rsid w:val="00E862F6"/>
    <w:rsid w:val="00E87396"/>
    <w:rsid w:val="00E95EBD"/>
    <w:rsid w:val="00E961BD"/>
    <w:rsid w:val="00E96876"/>
    <w:rsid w:val="00EA44A1"/>
    <w:rsid w:val="00EB052F"/>
    <w:rsid w:val="00EB52C0"/>
    <w:rsid w:val="00EC23C2"/>
    <w:rsid w:val="00EC42A3"/>
    <w:rsid w:val="00ED3AA2"/>
    <w:rsid w:val="00ED5326"/>
    <w:rsid w:val="00EE3395"/>
    <w:rsid w:val="00EF32EC"/>
    <w:rsid w:val="00F00A6D"/>
    <w:rsid w:val="00F017C4"/>
    <w:rsid w:val="00F03FC7"/>
    <w:rsid w:val="00F07933"/>
    <w:rsid w:val="00F121EE"/>
    <w:rsid w:val="00F143CA"/>
    <w:rsid w:val="00F35443"/>
    <w:rsid w:val="00F35AFC"/>
    <w:rsid w:val="00F41461"/>
    <w:rsid w:val="00F41BAA"/>
    <w:rsid w:val="00F521F0"/>
    <w:rsid w:val="00F55909"/>
    <w:rsid w:val="00F62E24"/>
    <w:rsid w:val="00F72993"/>
    <w:rsid w:val="00F82B38"/>
    <w:rsid w:val="00F83033"/>
    <w:rsid w:val="00F851FB"/>
    <w:rsid w:val="00F90943"/>
    <w:rsid w:val="00F92778"/>
    <w:rsid w:val="00F966AA"/>
    <w:rsid w:val="00F973BA"/>
    <w:rsid w:val="00FB5216"/>
    <w:rsid w:val="00FB538F"/>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styleId="BodyTextIndent">
    <w:name w:val="Body Text Indent"/>
    <w:basedOn w:val="Normal"/>
    <w:link w:val="BodyTextIndentChar"/>
    <w:rsid w:val="003200A9"/>
    <w:pPr>
      <w:spacing w:after="120"/>
      <w:ind w:left="360"/>
    </w:pPr>
  </w:style>
  <w:style w:type="character" w:customStyle="1" w:styleId="BodyTextIndentChar">
    <w:name w:val="Body Text Indent Char"/>
    <w:basedOn w:val="DefaultParagraphFont"/>
    <w:link w:val="BodyTextIndent"/>
    <w:rsid w:val="003200A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55B0-2F2D-48EE-97CF-C4B7AE3E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swilliams</cp:lastModifiedBy>
  <cp:revision>2</cp:revision>
  <cp:lastPrinted>2011-10-05T02:02:00Z</cp:lastPrinted>
  <dcterms:created xsi:type="dcterms:W3CDTF">2011-10-21T02:10:00Z</dcterms:created>
  <dcterms:modified xsi:type="dcterms:W3CDTF">2011-10-21T02:10:00Z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