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227" w:rsidRPr="00CA1B68" w:rsidRDefault="00906227" w:rsidP="00906227">
      <w:pPr>
        <w:jc w:val="center"/>
        <w:rPr>
          <w:b/>
          <w:sz w:val="28"/>
        </w:rPr>
      </w:pPr>
      <w:r w:rsidRPr="00CA1B68">
        <w:rPr>
          <w:b/>
          <w:sz w:val="28"/>
        </w:rPr>
        <w:t>Planning, Research &amp; Institutional Effectiveness</w:t>
      </w:r>
      <w:r w:rsidRPr="00CA1B68">
        <w:rPr>
          <w:noProof/>
          <w:sz w:val="28"/>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676275" cy="876300"/>
            <wp:effectExtent l="0" t="0" r="9525" b="0"/>
            <wp:wrapSquare wrapText="bothSides"/>
            <wp:docPr id="1" name="Picture 1" descr="CO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275" cy="876300"/>
                    </a:xfrm>
                    <a:prstGeom prst="rect">
                      <a:avLst/>
                    </a:prstGeom>
                    <a:noFill/>
                  </pic:spPr>
                </pic:pic>
              </a:graphicData>
            </a:graphic>
            <wp14:sizeRelH relativeFrom="page">
              <wp14:pctWidth>0</wp14:pctWidth>
            </wp14:sizeRelH>
            <wp14:sizeRelV relativeFrom="page">
              <wp14:pctHeight>0</wp14:pctHeight>
            </wp14:sizeRelV>
          </wp:anchor>
        </w:drawing>
      </w:r>
      <w:r w:rsidRPr="00CA1B68">
        <w:rPr>
          <w:b/>
          <w:sz w:val="28"/>
        </w:rPr>
        <w:t xml:space="preserve"> Committee (PRIEC)</w:t>
      </w:r>
    </w:p>
    <w:p w:rsidR="00906227" w:rsidRPr="002C5A01" w:rsidRDefault="00906227" w:rsidP="00906227">
      <w:pPr>
        <w:jc w:val="center"/>
        <w:rPr>
          <w:b/>
        </w:rPr>
      </w:pPr>
      <w:r w:rsidRPr="002C5A01">
        <w:rPr>
          <w:b/>
        </w:rPr>
        <w:t xml:space="preserve">Meeting </w:t>
      </w:r>
      <w:r w:rsidR="00E45A32" w:rsidRPr="00E45A32">
        <w:rPr>
          <w:b/>
          <w:color w:val="FF0000"/>
        </w:rPr>
        <w:t>MINUTES</w:t>
      </w:r>
      <w:r w:rsidR="00D278C6">
        <w:rPr>
          <w:b/>
        </w:rPr>
        <w:t xml:space="preserve"> - DRAFT</w:t>
      </w:r>
    </w:p>
    <w:p w:rsidR="00906227" w:rsidRPr="00A373D4" w:rsidRDefault="00906227" w:rsidP="00906227">
      <w:pPr>
        <w:spacing w:after="0" w:line="240" w:lineRule="auto"/>
        <w:jc w:val="center"/>
        <w:rPr>
          <w:b/>
          <w:vertAlign w:val="subscript"/>
        </w:rPr>
      </w:pPr>
      <w:r w:rsidRPr="002C5A01">
        <w:rPr>
          <w:b/>
        </w:rPr>
        <w:t>Date and Time:</w:t>
      </w:r>
      <w:r>
        <w:rPr>
          <w:b/>
        </w:rPr>
        <w:t xml:space="preserve">  </w:t>
      </w:r>
      <w:r w:rsidR="00CB3A64" w:rsidRPr="00AD7307">
        <w:rPr>
          <w:b/>
          <w:color w:val="FF0000"/>
        </w:rPr>
        <w:t>November 21</w:t>
      </w:r>
      <w:r>
        <w:rPr>
          <w:b/>
        </w:rPr>
        <w:t xml:space="preserve">, 2017   </w:t>
      </w:r>
      <w:r w:rsidR="00326E78">
        <w:rPr>
          <w:b/>
        </w:rPr>
        <w:t>12:00 - 1</w:t>
      </w:r>
      <w:r>
        <w:rPr>
          <w:b/>
        </w:rPr>
        <w:t>:00 p.m.</w:t>
      </w:r>
    </w:p>
    <w:p w:rsidR="00906227" w:rsidRDefault="00906227" w:rsidP="00906227">
      <w:pPr>
        <w:spacing w:after="0" w:line="240" w:lineRule="auto"/>
        <w:jc w:val="center"/>
        <w:rPr>
          <w:b/>
        </w:rPr>
      </w:pPr>
      <w:r w:rsidRPr="002C5A01">
        <w:rPr>
          <w:b/>
        </w:rPr>
        <w:t>Meeting Location:</w:t>
      </w:r>
      <w:r>
        <w:rPr>
          <w:b/>
        </w:rPr>
        <w:t xml:space="preserve"> L237</w:t>
      </w:r>
      <w:r w:rsidR="00DC7FBA">
        <w:rPr>
          <w:b/>
        </w:rPr>
        <w:t xml:space="preserve"> </w:t>
      </w:r>
    </w:p>
    <w:p w:rsidR="00906227" w:rsidRPr="002C5A01" w:rsidRDefault="00906227" w:rsidP="00906227">
      <w:pPr>
        <w:spacing w:after="0" w:line="240" w:lineRule="auto"/>
        <w:jc w:val="center"/>
        <w:rPr>
          <w:b/>
        </w:rPr>
      </w:pPr>
    </w:p>
    <w:p w:rsidR="00906227" w:rsidRDefault="00906227" w:rsidP="00D278C6">
      <w:pPr>
        <w:spacing w:after="0" w:line="240" w:lineRule="auto"/>
      </w:pPr>
      <w:r>
        <w:t xml:space="preserve">Co-Chair(s): </w:t>
      </w:r>
      <w:r>
        <w:tab/>
        <w:t>Karen Engel, Interim Dean of Research, Planning &amp; Institutional Effectiveness &amp;</w:t>
      </w:r>
    </w:p>
    <w:p w:rsidR="00906227" w:rsidRDefault="00906227" w:rsidP="00906227">
      <w:pPr>
        <w:spacing w:after="0" w:line="240" w:lineRule="auto"/>
      </w:pPr>
      <w:r>
        <w:tab/>
      </w:r>
      <w:r>
        <w:tab/>
        <w:t>Myron Jordan, Interim Vice President of Instruction</w:t>
      </w:r>
    </w:p>
    <w:p w:rsidR="00906227" w:rsidRDefault="00906227" w:rsidP="00906227">
      <w:pPr>
        <w:spacing w:after="0" w:line="240" w:lineRule="auto"/>
      </w:pPr>
      <w:r>
        <w:tab/>
      </w:r>
      <w:r>
        <w:tab/>
        <w:t>Recorder: Interim Dean Engel</w:t>
      </w:r>
    </w:p>
    <w:tbl>
      <w:tblPr>
        <w:tblStyle w:val="TableGrid"/>
        <w:tblW w:w="14490" w:type="dxa"/>
        <w:tblInd w:w="-185" w:type="dxa"/>
        <w:tblLook w:val="04A0" w:firstRow="1" w:lastRow="0" w:firstColumn="1" w:lastColumn="0" w:noHBand="0" w:noVBand="1"/>
      </w:tblPr>
      <w:tblGrid>
        <w:gridCol w:w="1410"/>
        <w:gridCol w:w="4800"/>
        <w:gridCol w:w="8280"/>
      </w:tblGrid>
      <w:tr w:rsidR="009261BF" w:rsidTr="00DC7FBA">
        <w:tc>
          <w:tcPr>
            <w:tcW w:w="1410" w:type="dxa"/>
            <w:shd w:val="clear" w:color="auto" w:fill="E7E6E6" w:themeFill="background2"/>
            <w:vAlign w:val="center"/>
          </w:tcPr>
          <w:p w:rsidR="009261BF" w:rsidRPr="002C5A01" w:rsidRDefault="009261BF" w:rsidP="00D278C6">
            <w:pPr>
              <w:spacing w:after="0"/>
              <w:jc w:val="center"/>
              <w:rPr>
                <w:b/>
              </w:rPr>
            </w:pPr>
            <w:r w:rsidRPr="002C5A01">
              <w:rPr>
                <w:b/>
              </w:rPr>
              <w:t>Topic</w:t>
            </w:r>
          </w:p>
        </w:tc>
        <w:tc>
          <w:tcPr>
            <w:tcW w:w="4800" w:type="dxa"/>
            <w:shd w:val="clear" w:color="auto" w:fill="E7E6E6" w:themeFill="background2"/>
          </w:tcPr>
          <w:p w:rsidR="009261BF" w:rsidRPr="002C5A01" w:rsidRDefault="009261BF" w:rsidP="008F4B28">
            <w:pPr>
              <w:spacing w:after="0"/>
              <w:jc w:val="center"/>
              <w:rPr>
                <w:b/>
              </w:rPr>
            </w:pPr>
            <w:r>
              <w:rPr>
                <w:b/>
              </w:rPr>
              <w:t>Item</w:t>
            </w:r>
          </w:p>
        </w:tc>
        <w:tc>
          <w:tcPr>
            <w:tcW w:w="8280" w:type="dxa"/>
            <w:shd w:val="clear" w:color="auto" w:fill="E7E6E6" w:themeFill="background2"/>
          </w:tcPr>
          <w:p w:rsidR="009261BF" w:rsidRPr="002C5A01" w:rsidRDefault="009261BF" w:rsidP="008F4B28">
            <w:pPr>
              <w:spacing w:after="0"/>
              <w:jc w:val="center"/>
              <w:rPr>
                <w:b/>
              </w:rPr>
            </w:pPr>
            <w:r>
              <w:rPr>
                <w:b/>
              </w:rPr>
              <w:t>NOTES</w:t>
            </w:r>
          </w:p>
        </w:tc>
      </w:tr>
      <w:tr w:rsidR="009261BF" w:rsidTr="00DC7FBA">
        <w:tc>
          <w:tcPr>
            <w:tcW w:w="1410" w:type="dxa"/>
            <w:vAlign w:val="center"/>
          </w:tcPr>
          <w:p w:rsidR="009261BF" w:rsidRDefault="009261BF" w:rsidP="00D278C6">
            <w:pPr>
              <w:spacing w:after="0"/>
              <w:jc w:val="center"/>
            </w:pPr>
            <w:r>
              <w:t>First Items</w:t>
            </w:r>
          </w:p>
        </w:tc>
        <w:tc>
          <w:tcPr>
            <w:tcW w:w="4800" w:type="dxa"/>
          </w:tcPr>
          <w:p w:rsidR="009261BF" w:rsidRPr="00B939ED" w:rsidRDefault="009261BF" w:rsidP="008F4B28">
            <w:pPr>
              <w:spacing w:after="0"/>
              <w:rPr>
                <w:b/>
              </w:rPr>
            </w:pPr>
            <w:r w:rsidRPr="00B939ED">
              <w:rPr>
                <w:b/>
              </w:rPr>
              <w:t>Welcome &amp; Introductions</w:t>
            </w:r>
          </w:p>
          <w:p w:rsidR="009261BF" w:rsidRPr="00A900EA" w:rsidRDefault="009261BF" w:rsidP="00A900EA">
            <w:pPr>
              <w:pStyle w:val="ListParagraph"/>
              <w:numPr>
                <w:ilvl w:val="0"/>
                <w:numId w:val="9"/>
              </w:numPr>
              <w:spacing w:after="0"/>
            </w:pPr>
            <w:r w:rsidRPr="00A900EA">
              <w:t>Approval of Minutes &amp; Action Items</w:t>
            </w:r>
          </w:p>
          <w:p w:rsidR="009261BF" w:rsidRPr="00A900EA" w:rsidRDefault="009261BF" w:rsidP="00A900EA">
            <w:pPr>
              <w:pStyle w:val="ListParagraph"/>
              <w:numPr>
                <w:ilvl w:val="0"/>
                <w:numId w:val="9"/>
              </w:numPr>
              <w:spacing w:after="0"/>
            </w:pPr>
            <w:r w:rsidRPr="00A900EA">
              <w:t>Approval of Agenda</w:t>
            </w:r>
          </w:p>
          <w:p w:rsidR="009261BF" w:rsidRPr="00326E78" w:rsidRDefault="009261BF" w:rsidP="00326E78">
            <w:pPr>
              <w:spacing w:after="0"/>
              <w:rPr>
                <w:b/>
              </w:rPr>
            </w:pPr>
          </w:p>
        </w:tc>
        <w:tc>
          <w:tcPr>
            <w:tcW w:w="8280" w:type="dxa"/>
          </w:tcPr>
          <w:p w:rsidR="009261BF" w:rsidRDefault="009261BF" w:rsidP="009261BF">
            <w:pPr>
              <w:spacing w:after="0"/>
            </w:pPr>
            <w:r>
              <w:t>KE to correct Oct. meeting minutes to include attendance.  With that correction, Eileen moved approval of minutes, Evan second.  All votes in favor.</w:t>
            </w:r>
          </w:p>
          <w:p w:rsidR="009261BF" w:rsidRDefault="009261BF" w:rsidP="009261BF">
            <w:pPr>
              <w:spacing w:after="0"/>
            </w:pPr>
          </w:p>
          <w:p w:rsidR="009261BF" w:rsidRPr="009261BF" w:rsidRDefault="009261BF" w:rsidP="009261BF">
            <w:pPr>
              <w:spacing w:after="0"/>
            </w:pPr>
            <w:r>
              <w:t>Agenda – Eileen moved to adopt, Shuntel second.  All votes to approve agenda and action items</w:t>
            </w:r>
          </w:p>
        </w:tc>
      </w:tr>
      <w:tr w:rsidR="009261BF" w:rsidTr="00DC7FBA">
        <w:trPr>
          <w:trHeight w:val="548"/>
        </w:trPr>
        <w:tc>
          <w:tcPr>
            <w:tcW w:w="1410" w:type="dxa"/>
            <w:vMerge w:val="restart"/>
            <w:vAlign w:val="center"/>
          </w:tcPr>
          <w:p w:rsidR="009261BF" w:rsidRDefault="009261BF" w:rsidP="00D278C6">
            <w:pPr>
              <w:spacing w:after="0"/>
              <w:jc w:val="center"/>
            </w:pPr>
            <w:r>
              <w:t>Discussion Items</w:t>
            </w:r>
          </w:p>
        </w:tc>
        <w:tc>
          <w:tcPr>
            <w:tcW w:w="4800" w:type="dxa"/>
          </w:tcPr>
          <w:p w:rsidR="009261BF" w:rsidRDefault="009261BF" w:rsidP="008F4B28">
            <w:pPr>
              <w:spacing w:after="0"/>
              <w:rPr>
                <w:b/>
              </w:rPr>
            </w:pPr>
            <w:r w:rsidRPr="00B939ED">
              <w:rPr>
                <w:b/>
              </w:rPr>
              <w:t>Program Review/APU</w:t>
            </w:r>
          </w:p>
          <w:p w:rsidR="009261BF" w:rsidRPr="00A900EA" w:rsidRDefault="009261BF" w:rsidP="00A900EA">
            <w:pPr>
              <w:pStyle w:val="ListParagraph"/>
              <w:numPr>
                <w:ilvl w:val="0"/>
                <w:numId w:val="10"/>
              </w:numPr>
              <w:spacing w:after="0"/>
              <w:rPr>
                <w:b/>
              </w:rPr>
            </w:pPr>
            <w:r>
              <w:t>Status update on finalizing this year’s process (and outcomes)</w:t>
            </w:r>
          </w:p>
        </w:tc>
        <w:tc>
          <w:tcPr>
            <w:tcW w:w="8280" w:type="dxa"/>
          </w:tcPr>
          <w:p w:rsidR="009261BF" w:rsidRDefault="00310912" w:rsidP="008F4B28">
            <w:pPr>
              <w:spacing w:after="0"/>
            </w:pPr>
            <w:r>
              <w:t>KE provided an update on the status of program review and APU submittals.  Two Instructional Program Reviews and</w:t>
            </w:r>
            <w:bookmarkStart w:id="0" w:name="_GoBack"/>
            <w:bookmarkEnd w:id="0"/>
            <w:r>
              <w:t xml:space="preserve"> 3 instructional APUs are late and due Nov. 30 at which time additional validation will occur (11-1).  All of Student Services PR and APUs were submitted on time and are currently being validated.</w:t>
            </w:r>
          </w:p>
        </w:tc>
      </w:tr>
      <w:tr w:rsidR="009261BF" w:rsidTr="00DC7FBA">
        <w:trPr>
          <w:trHeight w:val="1074"/>
        </w:trPr>
        <w:tc>
          <w:tcPr>
            <w:tcW w:w="1410" w:type="dxa"/>
            <w:vMerge/>
            <w:vAlign w:val="center"/>
          </w:tcPr>
          <w:p w:rsidR="009261BF" w:rsidRDefault="009261BF" w:rsidP="00D278C6">
            <w:pPr>
              <w:spacing w:after="0"/>
              <w:jc w:val="center"/>
            </w:pPr>
          </w:p>
        </w:tc>
        <w:tc>
          <w:tcPr>
            <w:tcW w:w="4800" w:type="dxa"/>
          </w:tcPr>
          <w:p w:rsidR="009261BF" w:rsidRDefault="009261BF" w:rsidP="008F4B28">
            <w:pPr>
              <w:spacing w:after="0"/>
              <w:rPr>
                <w:b/>
              </w:rPr>
            </w:pPr>
            <w:r>
              <w:rPr>
                <w:b/>
              </w:rPr>
              <w:t>Student Learning Outcomes</w:t>
            </w:r>
          </w:p>
          <w:p w:rsidR="009261BF" w:rsidRPr="00CB3A64" w:rsidRDefault="009261BF" w:rsidP="00CB3A64">
            <w:pPr>
              <w:pStyle w:val="ListParagraph"/>
              <w:numPr>
                <w:ilvl w:val="0"/>
                <w:numId w:val="10"/>
              </w:numPr>
              <w:spacing w:after="0"/>
            </w:pPr>
            <w:r>
              <w:t>SLO Coordinators’ Report</w:t>
            </w:r>
          </w:p>
        </w:tc>
        <w:tc>
          <w:tcPr>
            <w:tcW w:w="8280" w:type="dxa"/>
          </w:tcPr>
          <w:p w:rsidR="009261BF" w:rsidRDefault="009261BF" w:rsidP="008F4B28">
            <w:pPr>
              <w:spacing w:after="0"/>
            </w:pPr>
            <w:r>
              <w:t>VPI Jordan spoke about efforts to update all SLO’s for the 2016-17 cycle (end of 3 years).  A template was sent out re what is in Task Stream for each program.  Amanda Price will work with programs that might be missing something that needs updating.</w:t>
            </w:r>
          </w:p>
        </w:tc>
      </w:tr>
      <w:tr w:rsidR="009261BF" w:rsidTr="00DC7FBA">
        <w:trPr>
          <w:trHeight w:val="1074"/>
        </w:trPr>
        <w:tc>
          <w:tcPr>
            <w:tcW w:w="1410" w:type="dxa"/>
            <w:vMerge/>
            <w:vAlign w:val="center"/>
          </w:tcPr>
          <w:p w:rsidR="009261BF" w:rsidRDefault="009261BF" w:rsidP="00D278C6">
            <w:pPr>
              <w:spacing w:after="0"/>
              <w:jc w:val="center"/>
            </w:pPr>
          </w:p>
        </w:tc>
        <w:tc>
          <w:tcPr>
            <w:tcW w:w="4800" w:type="dxa"/>
          </w:tcPr>
          <w:p w:rsidR="009261BF" w:rsidRDefault="009261BF" w:rsidP="008F4B28">
            <w:pPr>
              <w:spacing w:after="0"/>
              <w:rPr>
                <w:b/>
              </w:rPr>
            </w:pPr>
            <w:r>
              <w:rPr>
                <w:b/>
              </w:rPr>
              <w:t>Guided Pathways</w:t>
            </w:r>
          </w:p>
          <w:p w:rsidR="009261BF" w:rsidRPr="00BB6CC2" w:rsidRDefault="009261BF" w:rsidP="00A900EA">
            <w:pPr>
              <w:pStyle w:val="ListParagraph"/>
              <w:numPr>
                <w:ilvl w:val="0"/>
                <w:numId w:val="7"/>
              </w:numPr>
              <w:spacing w:after="0"/>
            </w:pPr>
            <w:r w:rsidRPr="00BB6CC2">
              <w:t>Discuss feedback and approve draft self-assessment for Guided Pathways</w:t>
            </w:r>
          </w:p>
          <w:p w:rsidR="009261BF" w:rsidRPr="00CB3A64" w:rsidRDefault="009261BF" w:rsidP="00A900EA">
            <w:pPr>
              <w:pStyle w:val="ListParagraph"/>
              <w:numPr>
                <w:ilvl w:val="0"/>
                <w:numId w:val="7"/>
              </w:numPr>
              <w:spacing w:after="0"/>
              <w:rPr>
                <w:b/>
              </w:rPr>
            </w:pPr>
            <w:r>
              <w:t>Planning timeline</w:t>
            </w:r>
          </w:p>
          <w:p w:rsidR="009261BF" w:rsidRPr="00A900EA" w:rsidRDefault="009261BF" w:rsidP="00A900EA">
            <w:pPr>
              <w:pStyle w:val="ListParagraph"/>
              <w:numPr>
                <w:ilvl w:val="0"/>
                <w:numId w:val="7"/>
              </w:numPr>
              <w:spacing w:after="0"/>
              <w:rPr>
                <w:b/>
              </w:rPr>
            </w:pPr>
            <w:r>
              <w:t>New webpage on COA website with links and info</w:t>
            </w:r>
          </w:p>
        </w:tc>
        <w:tc>
          <w:tcPr>
            <w:tcW w:w="8280" w:type="dxa"/>
          </w:tcPr>
          <w:p w:rsidR="009261BF" w:rsidRDefault="0076604E" w:rsidP="008F4B28">
            <w:pPr>
              <w:spacing w:after="0"/>
            </w:pPr>
            <w:r>
              <w:t xml:space="preserve">KE </w:t>
            </w:r>
            <w:r w:rsidR="00DC7FBA">
              <w:t xml:space="preserve">provided an overview of the process related to the Guided Pathways </w:t>
            </w:r>
            <w:proofErr w:type="spellStart"/>
            <w:r w:rsidR="00DC7FBA">
              <w:t>Self Assessment</w:t>
            </w:r>
            <w:proofErr w:type="spellEnd"/>
            <w:r w:rsidR="00DC7FBA">
              <w:t xml:space="preserve">.  The Committee reviewed the summary matrix that included input by the Academic Senate and voted unanimously to accept it and forward it to the College Council and PCCD Board for approval and submittal to the State.  KE also showed how the draft assessment, slides, planning timeline, and other resources related to Guided Pathways are posted on the COA Office of Research &amp; Planning website. </w:t>
            </w:r>
            <w:hyperlink r:id="rId6" w:history="1">
              <w:r w:rsidR="00DC7FBA" w:rsidRPr="00820855">
                <w:rPr>
                  <w:rStyle w:val="Hyperlink"/>
                </w:rPr>
                <w:t>www.alameda.peralta.edu/office-of-research-planning-and-institutional-effectiveness/guided-pathways/</w:t>
              </w:r>
            </w:hyperlink>
          </w:p>
          <w:p w:rsidR="00DC7FBA" w:rsidRDefault="00DC7FBA" w:rsidP="008F4B28">
            <w:pPr>
              <w:spacing w:after="0"/>
            </w:pPr>
          </w:p>
        </w:tc>
      </w:tr>
      <w:tr w:rsidR="009261BF" w:rsidTr="00DC7FBA">
        <w:trPr>
          <w:trHeight w:val="3140"/>
        </w:trPr>
        <w:tc>
          <w:tcPr>
            <w:tcW w:w="1410" w:type="dxa"/>
            <w:vMerge/>
            <w:vAlign w:val="center"/>
          </w:tcPr>
          <w:p w:rsidR="009261BF" w:rsidRDefault="009261BF" w:rsidP="00D278C6">
            <w:pPr>
              <w:spacing w:after="0"/>
              <w:jc w:val="center"/>
            </w:pPr>
          </w:p>
        </w:tc>
        <w:tc>
          <w:tcPr>
            <w:tcW w:w="4800" w:type="dxa"/>
          </w:tcPr>
          <w:p w:rsidR="009261BF" w:rsidRPr="00B939ED" w:rsidRDefault="009261BF" w:rsidP="008F4B28">
            <w:pPr>
              <w:spacing w:after="0"/>
              <w:rPr>
                <w:b/>
              </w:rPr>
            </w:pPr>
            <w:r w:rsidRPr="00B939ED">
              <w:rPr>
                <w:b/>
              </w:rPr>
              <w:t xml:space="preserve">Participatory Governance </w:t>
            </w:r>
          </w:p>
          <w:p w:rsidR="009261BF" w:rsidRDefault="009261BF" w:rsidP="00A900EA">
            <w:pPr>
              <w:pStyle w:val="ListParagraph"/>
              <w:numPr>
                <w:ilvl w:val="0"/>
                <w:numId w:val="8"/>
              </w:numPr>
              <w:spacing w:after="0"/>
            </w:pPr>
            <w:r>
              <w:t xml:space="preserve">Discuss the draft </w:t>
            </w:r>
            <w:hyperlink r:id="rId7" w:history="1">
              <w:r>
                <w:rPr>
                  <w:rStyle w:val="Hyperlink"/>
                </w:rPr>
                <w:t>Participatory Governance</w:t>
              </w:r>
              <w:r w:rsidRPr="00417A78">
                <w:rPr>
                  <w:rStyle w:val="Hyperlink"/>
                </w:rPr>
                <w:t xml:space="preserve"> Handbook</w:t>
              </w:r>
            </w:hyperlink>
            <w:r>
              <w:t xml:space="preserve"> </w:t>
            </w:r>
          </w:p>
          <w:p w:rsidR="009261BF" w:rsidRPr="00C833C7" w:rsidRDefault="009261BF" w:rsidP="00C833C7">
            <w:pPr>
              <w:pStyle w:val="ListParagraph"/>
              <w:numPr>
                <w:ilvl w:val="0"/>
                <w:numId w:val="13"/>
              </w:numPr>
              <w:spacing w:after="0"/>
              <w:rPr>
                <w:sz w:val="20"/>
              </w:rPr>
            </w:pPr>
            <w:r w:rsidRPr="00C833C7">
              <w:rPr>
                <w:sz w:val="20"/>
              </w:rPr>
              <w:t>Review current committee charge</w:t>
            </w:r>
          </w:p>
          <w:p w:rsidR="009261BF" w:rsidRPr="00C833C7" w:rsidRDefault="009261BF" w:rsidP="00C833C7">
            <w:pPr>
              <w:pStyle w:val="ListParagraph"/>
              <w:numPr>
                <w:ilvl w:val="0"/>
                <w:numId w:val="13"/>
              </w:numPr>
              <w:spacing w:after="0"/>
              <w:rPr>
                <w:sz w:val="20"/>
              </w:rPr>
            </w:pPr>
            <w:r w:rsidRPr="00C833C7">
              <w:rPr>
                <w:sz w:val="20"/>
              </w:rPr>
              <w:t>Reflect on committee structure and effectiveness.  Should the committee:</w:t>
            </w:r>
          </w:p>
          <w:p w:rsidR="009261BF" w:rsidRPr="00C833C7" w:rsidRDefault="009261BF" w:rsidP="00E1457A">
            <w:pPr>
              <w:numPr>
                <w:ilvl w:val="1"/>
                <w:numId w:val="13"/>
              </w:numPr>
              <w:spacing w:after="0"/>
              <w:rPr>
                <w:rFonts w:eastAsia="Times New Roman"/>
                <w:sz w:val="20"/>
              </w:rPr>
            </w:pPr>
            <w:r w:rsidRPr="00C833C7">
              <w:rPr>
                <w:rFonts w:eastAsia="Times New Roman"/>
                <w:sz w:val="20"/>
              </w:rPr>
              <w:t>Continue as a standing committee of College Council (or)</w:t>
            </w:r>
          </w:p>
          <w:p w:rsidR="009261BF" w:rsidRPr="00C833C7" w:rsidRDefault="009261BF" w:rsidP="00E1457A">
            <w:pPr>
              <w:numPr>
                <w:ilvl w:val="1"/>
                <w:numId w:val="13"/>
              </w:numPr>
              <w:spacing w:after="0"/>
              <w:rPr>
                <w:rFonts w:eastAsia="Times New Roman"/>
                <w:sz w:val="20"/>
              </w:rPr>
            </w:pPr>
            <w:r w:rsidRPr="00C833C7">
              <w:rPr>
                <w:rFonts w:eastAsia="Times New Roman"/>
                <w:sz w:val="20"/>
              </w:rPr>
              <w:t>Merge with another standing committee of College Council (or)</w:t>
            </w:r>
          </w:p>
          <w:p w:rsidR="009261BF" w:rsidRPr="00C833C7" w:rsidRDefault="009261BF" w:rsidP="00E1457A">
            <w:pPr>
              <w:numPr>
                <w:ilvl w:val="1"/>
                <w:numId w:val="13"/>
              </w:numPr>
              <w:spacing w:after="0"/>
              <w:rPr>
                <w:rFonts w:eastAsia="Times New Roman"/>
                <w:sz w:val="20"/>
              </w:rPr>
            </w:pPr>
            <w:r w:rsidRPr="00C833C7">
              <w:rPr>
                <w:rFonts w:eastAsia="Times New Roman"/>
                <w:sz w:val="20"/>
              </w:rPr>
              <w:t>Discontinue and/or be replaced by another standing committee (or)</w:t>
            </w:r>
          </w:p>
          <w:p w:rsidR="009261BF" w:rsidRPr="00C833C7" w:rsidRDefault="009261BF" w:rsidP="00E1457A">
            <w:pPr>
              <w:numPr>
                <w:ilvl w:val="1"/>
                <w:numId w:val="13"/>
              </w:numPr>
              <w:spacing w:after="0"/>
              <w:rPr>
                <w:rFonts w:eastAsia="Times New Roman"/>
                <w:sz w:val="20"/>
              </w:rPr>
            </w:pPr>
            <w:r w:rsidRPr="00C833C7">
              <w:rPr>
                <w:sz w:val="20"/>
              </w:rPr>
              <w:t>If merge, with which committee</w:t>
            </w:r>
          </w:p>
          <w:p w:rsidR="009261BF" w:rsidRPr="00C833C7" w:rsidRDefault="009261BF" w:rsidP="00C833C7">
            <w:pPr>
              <w:pStyle w:val="ListParagraph"/>
              <w:numPr>
                <w:ilvl w:val="0"/>
                <w:numId w:val="13"/>
              </w:numPr>
              <w:spacing w:after="0"/>
              <w:rPr>
                <w:sz w:val="20"/>
              </w:rPr>
            </w:pPr>
            <w:r w:rsidRPr="00C833C7">
              <w:rPr>
                <w:sz w:val="20"/>
              </w:rPr>
              <w:t>Provide feedback on the Participatory Governance Handbook</w:t>
            </w:r>
          </w:p>
          <w:p w:rsidR="009261BF" w:rsidRPr="00C833C7" w:rsidRDefault="009261BF" w:rsidP="00C833C7">
            <w:pPr>
              <w:spacing w:after="0"/>
              <w:ind w:left="720"/>
            </w:pPr>
          </w:p>
        </w:tc>
        <w:tc>
          <w:tcPr>
            <w:tcW w:w="8280" w:type="dxa"/>
          </w:tcPr>
          <w:p w:rsidR="009261BF" w:rsidRDefault="00DC7FBA" w:rsidP="008F4B28">
            <w:pPr>
              <w:spacing w:after="0"/>
            </w:pPr>
            <w:r>
              <w:t>The Committee discussed President Karas’ request that the Committee charge be re-evaluated and compared to those of other COA committees.</w:t>
            </w:r>
          </w:p>
          <w:p w:rsidR="00DC7FBA" w:rsidRDefault="00DC7FBA" w:rsidP="008F4B28">
            <w:pPr>
              <w:spacing w:after="0"/>
            </w:pPr>
            <w:r>
              <w:t xml:space="preserve">AHL:  There is overlap and redundancy in the charges of Budget, PRIEC, and EMC.  </w:t>
            </w:r>
          </w:p>
          <w:p w:rsidR="009261BF" w:rsidRDefault="00DC7FBA" w:rsidP="008F4B28">
            <w:pPr>
              <w:spacing w:after="0"/>
            </w:pPr>
            <w:r>
              <w:t>EC:  There is also overlap with the Accreditation Oversight Committee (esp. with respect to SLOs)</w:t>
            </w:r>
          </w:p>
          <w:p w:rsidR="00DC7FBA" w:rsidRDefault="00DC7FBA" w:rsidP="008F4B28">
            <w:pPr>
              <w:spacing w:after="0"/>
            </w:pPr>
            <w:r>
              <w:t>MBB:  The Budget Committee is not interested in merging with PRIEC</w:t>
            </w:r>
          </w:p>
          <w:p w:rsidR="00DC7FBA" w:rsidRDefault="00DC7FBA" w:rsidP="008F4B28">
            <w:pPr>
              <w:spacing w:after="0"/>
            </w:pPr>
            <w:r>
              <w:t>DB: If PRIEC takes the lead on Guided Pathways, won’t we still need to go through Academic Senate?</w:t>
            </w:r>
          </w:p>
          <w:p w:rsidR="00DC7FBA" w:rsidRDefault="00DC7FBA" w:rsidP="008F4B28">
            <w:pPr>
              <w:spacing w:after="0"/>
            </w:pPr>
            <w:r>
              <w:t>MJ:  There is overlap in committee charges, but the PRIEC’s charge: “ensure that the College maintains a set of ongoing and systematic institutional processes and practices that include planning, the evaluation of programs and services, the identification and measurement of outcomes across all institutional units” may not be the focus of the committee right now, and is very important to get right with proper input from all constituencies.</w:t>
            </w:r>
          </w:p>
          <w:p w:rsidR="00DC7FBA" w:rsidRDefault="00DC7FBA" w:rsidP="008F4B28">
            <w:pPr>
              <w:spacing w:after="0"/>
            </w:pPr>
            <w:r>
              <w:t>DB:  Agree.  For example, grants, we rarely properly vet and evaluate the impact on the classroom of various grants we pursue and we need to set time aside to do that.</w:t>
            </w:r>
          </w:p>
          <w:p w:rsidR="00DC7FBA" w:rsidRDefault="00DC7FBA" w:rsidP="008F4B28">
            <w:pPr>
              <w:spacing w:after="0"/>
            </w:pPr>
            <w:r>
              <w:t>MJ:  Communication across the college is a constant challenge.  Could PRIEC help condense and clarify changes and practices so we understand them better?</w:t>
            </w:r>
          </w:p>
          <w:p w:rsidR="00DC7FBA" w:rsidRDefault="00DC7FBA" w:rsidP="008F4B28">
            <w:pPr>
              <w:spacing w:after="0"/>
            </w:pPr>
            <w:r>
              <w:t>PP:  Looking at pg. 12 of the Handbook, are we most focused on areas 1,2 and 5 or does PRIEC ride herd on the whole process?</w:t>
            </w:r>
          </w:p>
          <w:p w:rsidR="00DC7FBA" w:rsidRDefault="00DC7FBA" w:rsidP="008F4B28">
            <w:pPr>
              <w:spacing w:after="0"/>
            </w:pPr>
            <w:r>
              <w:t>AHL:  We ride herd.  In fact, all committees touch on all 5 areas.</w:t>
            </w:r>
          </w:p>
          <w:p w:rsidR="00DC7FBA" w:rsidRDefault="00DC7FBA" w:rsidP="008F4B28">
            <w:pPr>
              <w:spacing w:after="0"/>
            </w:pPr>
            <w:r>
              <w:t>ES:  While there is overlap in committee charges, perhaps we could consider assigning parts of PRIEC’s charge to other committees (Accreditation, EMC) and disbanding?  Also, perhaps we will need a new Committee to lead the Guided Pathways work.</w:t>
            </w:r>
          </w:p>
          <w:p w:rsidR="00DC7FBA" w:rsidRDefault="00DC7FBA" w:rsidP="008F4B28">
            <w:pPr>
              <w:spacing w:after="0"/>
            </w:pPr>
            <w:proofErr w:type="spellStart"/>
            <w:r>
              <w:t>Clemaus</w:t>
            </w:r>
            <w:proofErr w:type="spellEnd"/>
            <w:r>
              <w:t xml:space="preserve"> (ASCOA): Guided Pathways will lead to a lot of institutional change (</w:t>
            </w:r>
            <w:proofErr w:type="spellStart"/>
            <w:proofErr w:type="gramStart"/>
            <w:r>
              <w:t>eg</w:t>
            </w:r>
            <w:proofErr w:type="spellEnd"/>
            <w:r>
              <w:t>.,</w:t>
            </w:r>
            <w:proofErr w:type="gramEnd"/>
            <w:r>
              <w:t xml:space="preserve"> block scheduling) – how will we know if these changes are a good idea?  Some could have negative consequences for certain student sub-populations like veterans.</w:t>
            </w:r>
          </w:p>
          <w:p w:rsidR="00DC7FBA" w:rsidRDefault="00DC7FBA" w:rsidP="008F4B28">
            <w:pPr>
              <w:spacing w:after="0"/>
            </w:pPr>
            <w:r>
              <w:t>MJ:  Guided Pathways is a major, multi-year effort that will take time.  This could be a role for PRIEC to help plan, pilot, evaluate – especially with respect to new processes, and practices.  Let’s make sure PRIEC is inclusive and we don’t rush changes.</w:t>
            </w:r>
          </w:p>
          <w:p w:rsidR="00DC7FBA" w:rsidRDefault="00DC7FBA" w:rsidP="008F4B28">
            <w:pPr>
              <w:spacing w:after="0"/>
            </w:pPr>
            <w:r>
              <w:t xml:space="preserve">KE:  Tried to sum up possible choices:  (1) recommend that PRIEC </w:t>
            </w:r>
            <w:r>
              <w:rPr>
                <w:i/>
              </w:rPr>
              <w:t>focus</w:t>
            </w:r>
            <w:r>
              <w:t xml:space="preserve"> better on its existing charge of evaluation and measuring impact; and (2) distributing PRIEC’s responsibilities to other committees and dissolving the committee (or morphing into something that helps lead GP.</w:t>
            </w:r>
          </w:p>
          <w:p w:rsidR="00DC7FBA" w:rsidRDefault="00DC7FBA" w:rsidP="008F4B28">
            <w:pPr>
              <w:spacing w:after="0"/>
            </w:pPr>
            <w:r>
              <w:t xml:space="preserve">EC:  If PRIEC could help us all understand and communicate about new </w:t>
            </w:r>
            <w:proofErr w:type="gramStart"/>
            <w:r>
              <w:t>initiatives, that</w:t>
            </w:r>
            <w:proofErr w:type="gramEnd"/>
            <w:r>
              <w:t xml:space="preserve"> would be good.</w:t>
            </w:r>
          </w:p>
          <w:p w:rsidR="00DC7FBA" w:rsidRDefault="00DC7FBA" w:rsidP="008F4B28">
            <w:pPr>
              <w:spacing w:after="0"/>
            </w:pPr>
            <w:r>
              <w:t>PP:  Echo Myron’s last point.  Focus PRIEC on its core mission, get more voices involved in planning.</w:t>
            </w:r>
          </w:p>
          <w:p w:rsidR="00DC7FBA" w:rsidRDefault="00DC7FBA" w:rsidP="008F4B28">
            <w:pPr>
              <w:spacing w:after="0"/>
            </w:pPr>
            <w:r>
              <w:t>ES:  Prefer distributing responsibilities to other committees and create a different (not PRIEC) committee to work on Guided Pathways.</w:t>
            </w:r>
          </w:p>
          <w:p w:rsidR="00DC7FBA" w:rsidRDefault="00DC7FBA" w:rsidP="008F4B28">
            <w:pPr>
              <w:spacing w:after="0"/>
            </w:pPr>
            <w:r>
              <w:lastRenderedPageBreak/>
              <w:t>AHL:  Let’s not move SLO’s, PLO’s, and ILO’s to Accreditation.  We never want those to be something we do just because ACCJC says we must.  They need to be part of our regular cycle of evaluation and improvement.</w:t>
            </w:r>
          </w:p>
          <w:p w:rsidR="00DC7FBA" w:rsidRDefault="00DC7FBA" w:rsidP="008F4B28">
            <w:pPr>
              <w:spacing w:after="0"/>
            </w:pPr>
            <w:r>
              <w:t xml:space="preserve">SO:  Suggested keeping PRIEC and taking pieces from </w:t>
            </w:r>
            <w:r>
              <w:rPr>
                <w:i/>
              </w:rPr>
              <w:t>other</w:t>
            </w:r>
            <w:r>
              <w:t xml:space="preserve"> committees (Budget, Accreditation, EMC) to strengthen PRIEC’s ability to really do planning, evaluation, and change management well.</w:t>
            </w:r>
          </w:p>
          <w:p w:rsidR="00DC7FBA" w:rsidRDefault="00DC7FBA" w:rsidP="008F4B28">
            <w:pPr>
              <w:spacing w:after="0"/>
            </w:pPr>
            <w:r>
              <w:t>KE:  Shall we take a vote on a recommendation or continue the discussion next time?</w:t>
            </w:r>
          </w:p>
          <w:p w:rsidR="00DC7FBA" w:rsidRPr="00DC7FBA" w:rsidRDefault="00DC7FBA" w:rsidP="008F4B28">
            <w:pPr>
              <w:spacing w:after="0"/>
            </w:pPr>
            <w:r>
              <w:t>All:  continue the conversation in December.</w:t>
            </w:r>
          </w:p>
        </w:tc>
      </w:tr>
      <w:tr w:rsidR="009261BF" w:rsidTr="00DC7FBA">
        <w:tc>
          <w:tcPr>
            <w:tcW w:w="1410" w:type="dxa"/>
            <w:vAlign w:val="center"/>
          </w:tcPr>
          <w:p w:rsidR="009261BF" w:rsidRDefault="009261BF" w:rsidP="00417A78">
            <w:pPr>
              <w:spacing w:after="0"/>
              <w:jc w:val="center"/>
            </w:pPr>
            <w:r>
              <w:lastRenderedPageBreak/>
              <w:t>Action Items &amp; Future Items</w:t>
            </w:r>
          </w:p>
        </w:tc>
        <w:tc>
          <w:tcPr>
            <w:tcW w:w="4800" w:type="dxa"/>
          </w:tcPr>
          <w:p w:rsidR="009261BF" w:rsidRDefault="009261BF" w:rsidP="00A900EA">
            <w:pPr>
              <w:spacing w:after="0"/>
              <w:rPr>
                <w:b/>
              </w:rPr>
            </w:pPr>
            <w:r>
              <w:rPr>
                <w:b/>
              </w:rPr>
              <w:t>Action Items</w:t>
            </w:r>
          </w:p>
          <w:p w:rsidR="009261BF" w:rsidRPr="00CA1B68" w:rsidRDefault="009261BF" w:rsidP="00CA1B68">
            <w:pPr>
              <w:pStyle w:val="ListParagraph"/>
              <w:numPr>
                <w:ilvl w:val="0"/>
                <w:numId w:val="15"/>
              </w:numPr>
              <w:spacing w:after="0"/>
            </w:pPr>
            <w:r w:rsidRPr="00CA1B68">
              <w:t>Provide feedback on an</w:t>
            </w:r>
            <w:r>
              <w:t>d</w:t>
            </w:r>
            <w:r w:rsidRPr="00CA1B68">
              <w:t xml:space="preserve"> approve draft self-assessment for Guided Pathways funding</w:t>
            </w:r>
          </w:p>
          <w:p w:rsidR="009261BF" w:rsidRDefault="009261BF" w:rsidP="002125A0">
            <w:pPr>
              <w:spacing w:after="0"/>
              <w:rPr>
                <w:b/>
              </w:rPr>
            </w:pPr>
            <w:r>
              <w:rPr>
                <w:b/>
              </w:rPr>
              <w:t xml:space="preserve">Future Agenda Items  </w:t>
            </w:r>
          </w:p>
          <w:p w:rsidR="009261BF" w:rsidRPr="00CA1B68" w:rsidRDefault="009261BF" w:rsidP="00CA1B68">
            <w:pPr>
              <w:pStyle w:val="ListParagraph"/>
              <w:numPr>
                <w:ilvl w:val="0"/>
                <w:numId w:val="15"/>
              </w:numPr>
              <w:spacing w:after="0"/>
              <w:rPr>
                <w:b/>
              </w:rPr>
            </w:pPr>
            <w:r>
              <w:rPr>
                <w:b/>
              </w:rPr>
              <w:t>CCSSE survey results and draft BSI-SSSP-Equity Integrated Plan</w:t>
            </w:r>
          </w:p>
        </w:tc>
        <w:tc>
          <w:tcPr>
            <w:tcW w:w="8280" w:type="dxa"/>
          </w:tcPr>
          <w:p w:rsidR="009261BF" w:rsidRDefault="00DC7FBA" w:rsidP="00A900EA">
            <w:pPr>
              <w:spacing w:after="0"/>
            </w:pPr>
            <w:r>
              <w:t>PRIEC approved Guided Pathways self-assessment for submittal to state</w:t>
            </w:r>
          </w:p>
          <w:p w:rsidR="00DC7FBA" w:rsidRDefault="00DC7FBA" w:rsidP="00A900EA">
            <w:pPr>
              <w:spacing w:after="0"/>
            </w:pPr>
          </w:p>
          <w:p w:rsidR="00DC7FBA" w:rsidRDefault="00DC7FBA" w:rsidP="00A900EA">
            <w:pPr>
              <w:spacing w:after="0"/>
            </w:pPr>
            <w:r>
              <w:t>Future item:  continue work on committee charge changes.</w:t>
            </w:r>
          </w:p>
        </w:tc>
      </w:tr>
      <w:tr w:rsidR="009261BF" w:rsidTr="00DC7FBA">
        <w:tc>
          <w:tcPr>
            <w:tcW w:w="1410" w:type="dxa"/>
            <w:vAlign w:val="center"/>
          </w:tcPr>
          <w:p w:rsidR="009261BF" w:rsidRDefault="009261BF" w:rsidP="00A900EA">
            <w:pPr>
              <w:spacing w:after="0"/>
              <w:jc w:val="center"/>
            </w:pPr>
            <w:r>
              <w:t>Adjournment</w:t>
            </w:r>
          </w:p>
        </w:tc>
        <w:tc>
          <w:tcPr>
            <w:tcW w:w="4800" w:type="dxa"/>
          </w:tcPr>
          <w:p w:rsidR="009261BF" w:rsidRDefault="009261BF" w:rsidP="00A900EA">
            <w:pPr>
              <w:spacing w:after="0"/>
            </w:pPr>
          </w:p>
        </w:tc>
        <w:tc>
          <w:tcPr>
            <w:tcW w:w="8280" w:type="dxa"/>
          </w:tcPr>
          <w:p w:rsidR="009261BF" w:rsidRDefault="009261BF" w:rsidP="00A900EA">
            <w:pPr>
              <w:spacing w:after="0"/>
            </w:pPr>
            <w:r>
              <w:t>All</w:t>
            </w:r>
          </w:p>
        </w:tc>
      </w:tr>
    </w:tbl>
    <w:p w:rsidR="00CD59A6" w:rsidRPr="00906227" w:rsidRDefault="00906227" w:rsidP="00E1457A">
      <w:pPr>
        <w:spacing w:after="0"/>
        <w:rPr>
          <w:b/>
        </w:rPr>
      </w:pPr>
      <w:r>
        <w:br w:type="page"/>
      </w:r>
      <w:r w:rsidRPr="00906227">
        <w:rPr>
          <w:b/>
        </w:rPr>
        <w:lastRenderedPageBreak/>
        <w:t xml:space="preserve">Committee Members as of </w:t>
      </w:r>
      <w:r w:rsidR="00AD7307" w:rsidRPr="00AD7307">
        <w:rPr>
          <w:b/>
          <w:color w:val="FF0000"/>
        </w:rPr>
        <w:t>November 21</w:t>
      </w:r>
      <w:r w:rsidRPr="00906227">
        <w:rPr>
          <w:b/>
        </w:rPr>
        <w:t>, 2017:</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5514"/>
        <w:gridCol w:w="2435"/>
      </w:tblGrid>
      <w:tr w:rsidR="00EE3909" w:rsidRPr="00906227" w:rsidTr="00D278C6">
        <w:trPr>
          <w:trHeight w:val="555"/>
        </w:trPr>
        <w:tc>
          <w:tcPr>
            <w:tcW w:w="2756" w:type="dxa"/>
            <w:shd w:val="clear" w:color="auto" w:fill="auto"/>
            <w:noWrap/>
            <w:vAlign w:val="bottom"/>
            <w:hideMark/>
          </w:tcPr>
          <w:p w:rsidR="00EE3909" w:rsidRDefault="00EE3909" w:rsidP="00EE3909">
            <w:pPr>
              <w:spacing w:after="0"/>
              <w:jc w:val="center"/>
              <w:rPr>
                <w:rFonts w:ascii="Calibri" w:hAnsi="Calibri" w:cs="Calibri"/>
                <w:b/>
                <w:bCs/>
                <w:color w:val="000000"/>
              </w:rPr>
            </w:pPr>
            <w:r>
              <w:rPr>
                <w:rFonts w:ascii="Calibri" w:hAnsi="Calibri" w:cs="Calibri"/>
                <w:b/>
                <w:bCs/>
                <w:color w:val="000000"/>
              </w:rPr>
              <w:t>Name</w:t>
            </w:r>
          </w:p>
        </w:tc>
        <w:tc>
          <w:tcPr>
            <w:tcW w:w="5514" w:type="dxa"/>
            <w:shd w:val="clear" w:color="auto" w:fill="auto"/>
            <w:noWrap/>
            <w:vAlign w:val="bottom"/>
            <w:hideMark/>
          </w:tcPr>
          <w:p w:rsidR="00EE3909" w:rsidRDefault="00EE3909" w:rsidP="00EE3909">
            <w:pPr>
              <w:jc w:val="center"/>
              <w:rPr>
                <w:rFonts w:ascii="Calibri" w:hAnsi="Calibri" w:cs="Calibri"/>
                <w:b/>
                <w:bCs/>
                <w:color w:val="000000"/>
              </w:rPr>
            </w:pPr>
            <w:r>
              <w:rPr>
                <w:rFonts w:ascii="Calibri" w:hAnsi="Calibri" w:cs="Calibri"/>
                <w:b/>
                <w:bCs/>
                <w:color w:val="000000"/>
              </w:rPr>
              <w:t>Title/Representative</w:t>
            </w:r>
          </w:p>
        </w:tc>
        <w:tc>
          <w:tcPr>
            <w:tcW w:w="2435" w:type="dxa"/>
          </w:tcPr>
          <w:p w:rsidR="00EE3909" w:rsidRPr="00906227" w:rsidRDefault="0076604E" w:rsidP="0076604E">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Present</w:t>
            </w:r>
          </w:p>
        </w:tc>
      </w:tr>
      <w:tr w:rsidR="00EE3909" w:rsidRPr="00906227" w:rsidTr="00642F94">
        <w:trPr>
          <w:trHeight w:val="300"/>
        </w:trPr>
        <w:tc>
          <w:tcPr>
            <w:tcW w:w="2756" w:type="dxa"/>
            <w:shd w:val="clear" w:color="auto" w:fill="auto"/>
            <w:noWrap/>
            <w:vAlign w:val="bottom"/>
            <w:hideMark/>
          </w:tcPr>
          <w:p w:rsidR="00EE3909" w:rsidRDefault="00310912" w:rsidP="00EE3909">
            <w:pPr>
              <w:rPr>
                <w:rFonts w:ascii="Calibri" w:hAnsi="Calibri" w:cs="Calibri"/>
                <w:color w:val="000000"/>
              </w:rPr>
            </w:pPr>
            <w:hyperlink r:id="rId8" w:history="1">
              <w:r w:rsidR="00EE3909">
                <w:rPr>
                  <w:rStyle w:val="Hyperlink"/>
                  <w:rFonts w:ascii="Calibri" w:hAnsi="Calibri" w:cs="Calibri"/>
                  <w:color w:val="000000"/>
                </w:rPr>
                <w:t xml:space="preserve">MaryBeth Benvenutti </w:t>
              </w:r>
            </w:hyperlink>
          </w:p>
        </w:tc>
        <w:tc>
          <w:tcPr>
            <w:tcW w:w="5514" w:type="dxa"/>
            <w:shd w:val="clear" w:color="auto" w:fill="auto"/>
            <w:noWrap/>
            <w:vAlign w:val="center"/>
            <w:hideMark/>
          </w:tcPr>
          <w:p w:rsidR="00EE3909" w:rsidRDefault="00EE3909" w:rsidP="00EE3909">
            <w:pPr>
              <w:rPr>
                <w:rFonts w:ascii="Calibri" w:hAnsi="Calibri" w:cs="Calibri"/>
                <w:color w:val="000000"/>
              </w:rPr>
            </w:pPr>
            <w:r>
              <w:rPr>
                <w:rFonts w:ascii="Calibri" w:hAnsi="Calibri" w:cs="Calibri"/>
                <w:color w:val="000000"/>
              </w:rPr>
              <w:t>Director of Business and Administrative Services</w:t>
            </w:r>
          </w:p>
        </w:tc>
        <w:tc>
          <w:tcPr>
            <w:tcW w:w="2435" w:type="dxa"/>
          </w:tcPr>
          <w:p w:rsidR="00EE3909" w:rsidRPr="00906227" w:rsidRDefault="0076604E" w:rsidP="0076604E">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r>
      <w:tr w:rsidR="00EE3909" w:rsidRPr="00906227" w:rsidTr="00D278C6">
        <w:trPr>
          <w:trHeight w:val="300"/>
        </w:trPr>
        <w:tc>
          <w:tcPr>
            <w:tcW w:w="2756" w:type="dxa"/>
            <w:shd w:val="clear" w:color="auto" w:fill="auto"/>
            <w:noWrap/>
            <w:vAlign w:val="bottom"/>
            <w:hideMark/>
          </w:tcPr>
          <w:p w:rsidR="00EE3909" w:rsidRDefault="00310912" w:rsidP="00EE3909">
            <w:pPr>
              <w:rPr>
                <w:rFonts w:ascii="Calibri" w:hAnsi="Calibri" w:cs="Calibri"/>
                <w:color w:val="000000"/>
              </w:rPr>
            </w:pPr>
            <w:hyperlink r:id="rId9" w:history="1">
              <w:r w:rsidR="00EE3909">
                <w:rPr>
                  <w:rStyle w:val="Hyperlink"/>
                  <w:rFonts w:ascii="Calibri" w:hAnsi="Calibri" w:cs="Calibri"/>
                  <w:color w:val="000000"/>
                </w:rPr>
                <w:t xml:space="preserve">Myron Jordan </w:t>
              </w:r>
            </w:hyperlink>
          </w:p>
        </w:tc>
        <w:tc>
          <w:tcPr>
            <w:tcW w:w="5514" w:type="dxa"/>
            <w:shd w:val="clear" w:color="auto" w:fill="auto"/>
            <w:noWrap/>
            <w:vAlign w:val="center"/>
            <w:hideMark/>
          </w:tcPr>
          <w:p w:rsidR="00EE3909" w:rsidRDefault="00EE3909" w:rsidP="00EE3909">
            <w:pPr>
              <w:rPr>
                <w:rFonts w:ascii="Calibri" w:hAnsi="Calibri" w:cs="Calibri"/>
                <w:color w:val="000000"/>
              </w:rPr>
            </w:pPr>
            <w:r>
              <w:rPr>
                <w:rFonts w:ascii="Calibri" w:hAnsi="Calibri" w:cs="Calibri"/>
                <w:color w:val="000000"/>
              </w:rPr>
              <w:t>Vice President of Instruction, Co-Chair</w:t>
            </w:r>
          </w:p>
        </w:tc>
        <w:tc>
          <w:tcPr>
            <w:tcW w:w="2435" w:type="dxa"/>
          </w:tcPr>
          <w:p w:rsidR="00EE3909" w:rsidRPr="00906227" w:rsidRDefault="0076604E" w:rsidP="0076604E">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r>
      <w:tr w:rsidR="00EE3909" w:rsidRPr="00906227" w:rsidTr="00D278C6">
        <w:trPr>
          <w:trHeight w:val="300"/>
        </w:trPr>
        <w:tc>
          <w:tcPr>
            <w:tcW w:w="2756" w:type="dxa"/>
            <w:shd w:val="clear" w:color="auto" w:fill="auto"/>
            <w:noWrap/>
            <w:vAlign w:val="bottom"/>
            <w:hideMark/>
          </w:tcPr>
          <w:p w:rsidR="00EE3909" w:rsidRDefault="00310912" w:rsidP="00EE3909">
            <w:pPr>
              <w:rPr>
                <w:rFonts w:ascii="Calibri" w:hAnsi="Calibri" w:cs="Calibri"/>
                <w:color w:val="000000"/>
              </w:rPr>
            </w:pPr>
            <w:hyperlink r:id="rId10" w:history="1">
              <w:r w:rsidR="00EE3909">
                <w:rPr>
                  <w:rStyle w:val="Hyperlink"/>
                  <w:rFonts w:ascii="Calibri" w:hAnsi="Calibri" w:cs="Calibri"/>
                  <w:color w:val="000000"/>
                </w:rPr>
                <w:t xml:space="preserve">Amy H. Lee </w:t>
              </w:r>
            </w:hyperlink>
          </w:p>
        </w:tc>
        <w:tc>
          <w:tcPr>
            <w:tcW w:w="5514" w:type="dxa"/>
            <w:shd w:val="clear" w:color="auto" w:fill="auto"/>
            <w:noWrap/>
            <w:vAlign w:val="center"/>
            <w:hideMark/>
          </w:tcPr>
          <w:p w:rsidR="00EE3909" w:rsidRDefault="00EE3909" w:rsidP="00EE3909">
            <w:pPr>
              <w:rPr>
                <w:rFonts w:ascii="Calibri" w:hAnsi="Calibri" w:cs="Calibri"/>
                <w:color w:val="000000"/>
              </w:rPr>
            </w:pPr>
            <w:r>
              <w:rPr>
                <w:rFonts w:ascii="Calibri" w:hAnsi="Calibri" w:cs="Calibri"/>
                <w:color w:val="000000"/>
              </w:rPr>
              <w:t>Dean of Enrollment Services</w:t>
            </w:r>
          </w:p>
        </w:tc>
        <w:tc>
          <w:tcPr>
            <w:tcW w:w="2435" w:type="dxa"/>
          </w:tcPr>
          <w:p w:rsidR="00EE3909" w:rsidRPr="00906227" w:rsidRDefault="0076604E" w:rsidP="0076604E">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r>
      <w:tr w:rsidR="00EE3909" w:rsidRPr="00906227" w:rsidTr="00D278C6">
        <w:trPr>
          <w:trHeight w:val="300"/>
        </w:trPr>
        <w:tc>
          <w:tcPr>
            <w:tcW w:w="2756" w:type="dxa"/>
            <w:shd w:val="clear" w:color="auto" w:fill="auto"/>
            <w:noWrap/>
            <w:vAlign w:val="bottom"/>
            <w:hideMark/>
          </w:tcPr>
          <w:p w:rsidR="00EE3909" w:rsidRDefault="00310912" w:rsidP="00EE3909">
            <w:pPr>
              <w:rPr>
                <w:rFonts w:ascii="Calibri" w:hAnsi="Calibri" w:cs="Calibri"/>
                <w:color w:val="000000"/>
              </w:rPr>
            </w:pPr>
            <w:hyperlink r:id="rId11" w:history="1">
              <w:r w:rsidR="00EE3909">
                <w:rPr>
                  <w:rStyle w:val="Hyperlink"/>
                  <w:rFonts w:ascii="Calibri" w:hAnsi="Calibri" w:cs="Calibri"/>
                  <w:color w:val="000000"/>
                </w:rPr>
                <w:t xml:space="preserve">Drew Burgess </w:t>
              </w:r>
            </w:hyperlink>
          </w:p>
        </w:tc>
        <w:tc>
          <w:tcPr>
            <w:tcW w:w="5514" w:type="dxa"/>
            <w:shd w:val="clear" w:color="auto" w:fill="auto"/>
            <w:noWrap/>
            <w:vAlign w:val="center"/>
            <w:hideMark/>
          </w:tcPr>
          <w:p w:rsidR="00EE3909" w:rsidRDefault="00EE3909" w:rsidP="00EE3909">
            <w:pPr>
              <w:rPr>
                <w:rFonts w:ascii="Calibri" w:hAnsi="Calibri" w:cs="Calibri"/>
                <w:color w:val="000000"/>
              </w:rPr>
            </w:pPr>
            <w:r>
              <w:rPr>
                <w:rFonts w:ascii="Calibri" w:hAnsi="Calibri" w:cs="Calibri"/>
                <w:color w:val="000000"/>
              </w:rPr>
              <w:t>Curriculum Committee Chair</w:t>
            </w:r>
          </w:p>
        </w:tc>
        <w:tc>
          <w:tcPr>
            <w:tcW w:w="2435" w:type="dxa"/>
          </w:tcPr>
          <w:p w:rsidR="00EE3909" w:rsidRPr="00906227" w:rsidRDefault="0076604E" w:rsidP="0076604E">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r>
      <w:tr w:rsidR="00EE3909" w:rsidRPr="00906227" w:rsidTr="00D278C6">
        <w:trPr>
          <w:trHeight w:val="300"/>
        </w:trPr>
        <w:tc>
          <w:tcPr>
            <w:tcW w:w="2756" w:type="dxa"/>
            <w:shd w:val="clear" w:color="auto" w:fill="auto"/>
            <w:noWrap/>
            <w:vAlign w:val="bottom"/>
            <w:hideMark/>
          </w:tcPr>
          <w:p w:rsidR="00EE3909" w:rsidRDefault="00310912" w:rsidP="00EE3909">
            <w:pPr>
              <w:rPr>
                <w:rFonts w:ascii="Calibri" w:hAnsi="Calibri" w:cs="Calibri"/>
                <w:color w:val="000000"/>
              </w:rPr>
            </w:pPr>
            <w:hyperlink r:id="rId12" w:history="1">
              <w:r w:rsidR="00EE3909">
                <w:rPr>
                  <w:rStyle w:val="Hyperlink"/>
                  <w:rFonts w:ascii="Calibri" w:hAnsi="Calibri" w:cs="Calibri"/>
                  <w:color w:val="000000"/>
                </w:rPr>
                <w:t xml:space="preserve">Eileen Clifford </w:t>
              </w:r>
            </w:hyperlink>
          </w:p>
        </w:tc>
        <w:tc>
          <w:tcPr>
            <w:tcW w:w="5514" w:type="dxa"/>
            <w:shd w:val="clear" w:color="auto" w:fill="auto"/>
            <w:noWrap/>
            <w:vAlign w:val="center"/>
            <w:hideMark/>
          </w:tcPr>
          <w:p w:rsidR="00EE3909" w:rsidRDefault="00EE3909" w:rsidP="00EE3909">
            <w:pPr>
              <w:rPr>
                <w:rFonts w:ascii="Calibri" w:hAnsi="Calibri" w:cs="Calibri"/>
                <w:color w:val="000000"/>
              </w:rPr>
            </w:pPr>
            <w:r>
              <w:rPr>
                <w:rFonts w:ascii="Calibri" w:hAnsi="Calibri" w:cs="Calibri"/>
                <w:color w:val="000000"/>
              </w:rPr>
              <w:t>SLO Coordinator(s) – all</w:t>
            </w:r>
          </w:p>
        </w:tc>
        <w:tc>
          <w:tcPr>
            <w:tcW w:w="2435" w:type="dxa"/>
          </w:tcPr>
          <w:p w:rsidR="00EE3909" w:rsidRPr="00906227" w:rsidRDefault="0076604E" w:rsidP="0076604E">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r>
      <w:tr w:rsidR="00EE3909" w:rsidRPr="00906227" w:rsidTr="00D278C6">
        <w:trPr>
          <w:trHeight w:val="300"/>
        </w:trPr>
        <w:tc>
          <w:tcPr>
            <w:tcW w:w="2756" w:type="dxa"/>
            <w:shd w:val="clear" w:color="auto" w:fill="auto"/>
            <w:noWrap/>
            <w:vAlign w:val="bottom"/>
            <w:hideMark/>
          </w:tcPr>
          <w:p w:rsidR="00EE3909" w:rsidRDefault="00310912" w:rsidP="00EE3909">
            <w:pPr>
              <w:rPr>
                <w:rFonts w:ascii="Calibri" w:hAnsi="Calibri" w:cs="Calibri"/>
                <w:color w:val="000000"/>
              </w:rPr>
            </w:pPr>
            <w:hyperlink r:id="rId13" w:history="1">
              <w:r w:rsidR="00EE3909">
                <w:rPr>
                  <w:rStyle w:val="Hyperlink"/>
                  <w:rFonts w:ascii="Calibri" w:hAnsi="Calibri" w:cs="Calibri"/>
                  <w:color w:val="000000"/>
                </w:rPr>
                <w:t xml:space="preserve">Matthew Goldstein </w:t>
              </w:r>
            </w:hyperlink>
          </w:p>
        </w:tc>
        <w:tc>
          <w:tcPr>
            <w:tcW w:w="5514" w:type="dxa"/>
            <w:shd w:val="clear" w:color="auto" w:fill="auto"/>
            <w:noWrap/>
            <w:vAlign w:val="center"/>
            <w:hideMark/>
          </w:tcPr>
          <w:p w:rsidR="00EE3909" w:rsidRDefault="00EE3909" w:rsidP="00EE3909">
            <w:pPr>
              <w:rPr>
                <w:rFonts w:ascii="Calibri" w:hAnsi="Calibri" w:cs="Calibri"/>
                <w:color w:val="000000"/>
              </w:rPr>
            </w:pPr>
            <w:r>
              <w:rPr>
                <w:rFonts w:ascii="Calibri" w:hAnsi="Calibri" w:cs="Calibri"/>
                <w:color w:val="000000"/>
              </w:rPr>
              <w:t>SLO Coordinator(s) – all</w:t>
            </w:r>
          </w:p>
        </w:tc>
        <w:tc>
          <w:tcPr>
            <w:tcW w:w="2435" w:type="dxa"/>
          </w:tcPr>
          <w:p w:rsidR="00EE3909" w:rsidRPr="00906227" w:rsidRDefault="00EE3909" w:rsidP="0076604E">
            <w:pPr>
              <w:spacing w:after="0" w:line="240" w:lineRule="auto"/>
              <w:jc w:val="center"/>
              <w:rPr>
                <w:rFonts w:ascii="Calibri" w:eastAsia="Times New Roman" w:hAnsi="Calibri" w:cs="Calibri"/>
                <w:color w:val="000000"/>
              </w:rPr>
            </w:pPr>
          </w:p>
        </w:tc>
      </w:tr>
      <w:tr w:rsidR="00EE3909" w:rsidRPr="00906227" w:rsidTr="00D278C6">
        <w:trPr>
          <w:trHeight w:val="300"/>
        </w:trPr>
        <w:tc>
          <w:tcPr>
            <w:tcW w:w="2756" w:type="dxa"/>
            <w:shd w:val="clear" w:color="auto" w:fill="auto"/>
            <w:noWrap/>
            <w:vAlign w:val="bottom"/>
            <w:hideMark/>
          </w:tcPr>
          <w:p w:rsidR="00EE3909" w:rsidRDefault="00310912" w:rsidP="00EE3909">
            <w:pPr>
              <w:rPr>
                <w:rFonts w:ascii="Calibri" w:hAnsi="Calibri" w:cs="Calibri"/>
                <w:color w:val="000000"/>
              </w:rPr>
            </w:pPr>
            <w:hyperlink r:id="rId14" w:history="1">
              <w:r w:rsidR="00EE3909">
                <w:rPr>
                  <w:rStyle w:val="Hyperlink"/>
                  <w:rFonts w:ascii="Calibri" w:hAnsi="Calibri" w:cs="Calibri"/>
                  <w:color w:val="000000"/>
                </w:rPr>
                <w:t>Evan Schloss</w:t>
              </w:r>
            </w:hyperlink>
          </w:p>
        </w:tc>
        <w:tc>
          <w:tcPr>
            <w:tcW w:w="5514" w:type="dxa"/>
            <w:shd w:val="clear" w:color="auto" w:fill="auto"/>
            <w:noWrap/>
            <w:vAlign w:val="center"/>
            <w:hideMark/>
          </w:tcPr>
          <w:p w:rsidR="00EE3909" w:rsidRDefault="00EE3909" w:rsidP="00EE3909">
            <w:pPr>
              <w:rPr>
                <w:rFonts w:ascii="Calibri" w:hAnsi="Calibri" w:cs="Calibri"/>
                <w:color w:val="000000"/>
              </w:rPr>
            </w:pPr>
            <w:r>
              <w:rPr>
                <w:rFonts w:ascii="Calibri" w:hAnsi="Calibri" w:cs="Calibri"/>
                <w:color w:val="000000"/>
              </w:rPr>
              <w:t>SLO Coordinator(s) – all</w:t>
            </w:r>
          </w:p>
        </w:tc>
        <w:tc>
          <w:tcPr>
            <w:tcW w:w="2435" w:type="dxa"/>
          </w:tcPr>
          <w:p w:rsidR="00EE3909" w:rsidRPr="00906227" w:rsidRDefault="0076604E" w:rsidP="0076604E">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r>
      <w:tr w:rsidR="00EE3909" w:rsidRPr="00906227" w:rsidTr="00D278C6">
        <w:trPr>
          <w:trHeight w:val="300"/>
        </w:trPr>
        <w:tc>
          <w:tcPr>
            <w:tcW w:w="2756" w:type="dxa"/>
            <w:shd w:val="clear" w:color="auto" w:fill="auto"/>
            <w:noWrap/>
            <w:vAlign w:val="bottom"/>
            <w:hideMark/>
          </w:tcPr>
          <w:p w:rsidR="00EE3909" w:rsidRDefault="00310912" w:rsidP="00EE3909">
            <w:pPr>
              <w:rPr>
                <w:rFonts w:ascii="Calibri" w:hAnsi="Calibri" w:cs="Calibri"/>
                <w:color w:val="000000"/>
              </w:rPr>
            </w:pPr>
            <w:hyperlink r:id="rId15" w:history="1">
              <w:r w:rsidR="00EE3909">
                <w:rPr>
                  <w:rStyle w:val="Hyperlink"/>
                  <w:rFonts w:ascii="Calibri" w:hAnsi="Calibri" w:cs="Calibri"/>
                  <w:color w:val="000000"/>
                </w:rPr>
                <w:t xml:space="preserve">Rochelle Olive </w:t>
              </w:r>
            </w:hyperlink>
          </w:p>
        </w:tc>
        <w:tc>
          <w:tcPr>
            <w:tcW w:w="5514" w:type="dxa"/>
            <w:shd w:val="clear" w:color="auto" w:fill="auto"/>
            <w:noWrap/>
            <w:vAlign w:val="center"/>
            <w:hideMark/>
          </w:tcPr>
          <w:p w:rsidR="00EE3909" w:rsidRDefault="00EE3909" w:rsidP="00EE3909">
            <w:pPr>
              <w:rPr>
                <w:rFonts w:ascii="Calibri" w:hAnsi="Calibri" w:cs="Calibri"/>
                <w:color w:val="000000"/>
              </w:rPr>
            </w:pPr>
            <w:r>
              <w:rPr>
                <w:rFonts w:ascii="Calibri" w:hAnsi="Calibri" w:cs="Calibri"/>
                <w:color w:val="000000"/>
              </w:rPr>
              <w:t>Academic Senate President</w:t>
            </w:r>
          </w:p>
        </w:tc>
        <w:tc>
          <w:tcPr>
            <w:tcW w:w="2435" w:type="dxa"/>
          </w:tcPr>
          <w:p w:rsidR="00EE3909" w:rsidRPr="00906227" w:rsidRDefault="00EE3909" w:rsidP="0076604E">
            <w:pPr>
              <w:spacing w:after="0" w:line="240" w:lineRule="auto"/>
              <w:jc w:val="center"/>
              <w:rPr>
                <w:rFonts w:ascii="Calibri" w:eastAsia="Times New Roman" w:hAnsi="Calibri" w:cs="Calibri"/>
                <w:color w:val="000000"/>
              </w:rPr>
            </w:pPr>
          </w:p>
        </w:tc>
      </w:tr>
      <w:tr w:rsidR="00EE3909" w:rsidRPr="00906227" w:rsidTr="00D278C6">
        <w:trPr>
          <w:trHeight w:val="300"/>
        </w:trPr>
        <w:tc>
          <w:tcPr>
            <w:tcW w:w="2756" w:type="dxa"/>
            <w:shd w:val="clear" w:color="auto" w:fill="auto"/>
            <w:noWrap/>
            <w:vAlign w:val="bottom"/>
            <w:hideMark/>
          </w:tcPr>
          <w:p w:rsidR="00EE3909" w:rsidRDefault="00310912" w:rsidP="00EE3909">
            <w:pPr>
              <w:rPr>
                <w:rFonts w:ascii="Calibri" w:hAnsi="Calibri" w:cs="Calibri"/>
                <w:color w:val="000000"/>
              </w:rPr>
            </w:pPr>
            <w:hyperlink r:id="rId16" w:history="1">
              <w:r w:rsidR="00EE3909">
                <w:rPr>
                  <w:rStyle w:val="Hyperlink"/>
                  <w:rFonts w:ascii="Calibri" w:hAnsi="Calibri" w:cs="Calibri"/>
                  <w:color w:val="000000"/>
                </w:rPr>
                <w:t xml:space="preserve">Karen Engel </w:t>
              </w:r>
            </w:hyperlink>
          </w:p>
        </w:tc>
        <w:tc>
          <w:tcPr>
            <w:tcW w:w="5514" w:type="dxa"/>
            <w:shd w:val="clear" w:color="auto" w:fill="auto"/>
            <w:noWrap/>
            <w:vAlign w:val="center"/>
            <w:hideMark/>
          </w:tcPr>
          <w:p w:rsidR="00EE3909" w:rsidRDefault="00DF7F6B" w:rsidP="00EE3909">
            <w:pPr>
              <w:rPr>
                <w:rFonts w:ascii="Calibri" w:hAnsi="Calibri" w:cs="Calibri"/>
                <w:color w:val="000000"/>
              </w:rPr>
            </w:pPr>
            <w:r>
              <w:rPr>
                <w:rFonts w:ascii="Calibri" w:hAnsi="Calibri" w:cs="Calibri"/>
                <w:color w:val="000000"/>
              </w:rPr>
              <w:t xml:space="preserve">Interim </w:t>
            </w:r>
            <w:r w:rsidR="00EE3909">
              <w:rPr>
                <w:rFonts w:ascii="Calibri" w:hAnsi="Calibri" w:cs="Calibri"/>
                <w:color w:val="000000"/>
              </w:rPr>
              <w:t>Dean of Research, Planning &amp; Institutional Effectiveness, Co-Chair</w:t>
            </w:r>
          </w:p>
        </w:tc>
        <w:tc>
          <w:tcPr>
            <w:tcW w:w="2435" w:type="dxa"/>
          </w:tcPr>
          <w:p w:rsidR="00EE3909" w:rsidRPr="00906227" w:rsidRDefault="0076604E" w:rsidP="0076604E">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r>
      <w:tr w:rsidR="00EE3909" w:rsidRPr="00906227" w:rsidTr="00642F94">
        <w:trPr>
          <w:trHeight w:val="315"/>
        </w:trPr>
        <w:tc>
          <w:tcPr>
            <w:tcW w:w="2756" w:type="dxa"/>
            <w:shd w:val="clear" w:color="auto" w:fill="auto"/>
            <w:noWrap/>
            <w:vAlign w:val="bottom"/>
            <w:hideMark/>
          </w:tcPr>
          <w:p w:rsidR="00EE3909" w:rsidRDefault="00EE3909" w:rsidP="00EE3909">
            <w:pPr>
              <w:rPr>
                <w:rFonts w:ascii="Calibri" w:hAnsi="Calibri" w:cs="Calibri"/>
                <w:color w:val="000000"/>
              </w:rPr>
            </w:pPr>
            <w:proofErr w:type="spellStart"/>
            <w:r>
              <w:rPr>
                <w:rFonts w:ascii="Calibri" w:hAnsi="Calibri" w:cs="Calibri"/>
                <w:color w:val="000000"/>
              </w:rPr>
              <w:t>Clemaus</w:t>
            </w:r>
            <w:proofErr w:type="spellEnd"/>
            <w:r>
              <w:rPr>
                <w:rFonts w:ascii="Calibri" w:hAnsi="Calibri" w:cs="Calibri"/>
                <w:color w:val="000000"/>
              </w:rPr>
              <w:t xml:space="preserve"> Ozell </w:t>
            </w:r>
            <w:proofErr w:type="spellStart"/>
            <w:r>
              <w:rPr>
                <w:rFonts w:ascii="Calibri" w:hAnsi="Calibri" w:cs="Calibri"/>
                <w:color w:val="000000"/>
              </w:rPr>
              <w:t>Tervalon</w:t>
            </w:r>
            <w:proofErr w:type="spellEnd"/>
          </w:p>
        </w:tc>
        <w:tc>
          <w:tcPr>
            <w:tcW w:w="5514" w:type="dxa"/>
            <w:shd w:val="clear" w:color="auto" w:fill="auto"/>
            <w:noWrap/>
            <w:vAlign w:val="bottom"/>
            <w:hideMark/>
          </w:tcPr>
          <w:p w:rsidR="00EE3909" w:rsidRDefault="00EE3909" w:rsidP="00EE3909">
            <w:pPr>
              <w:rPr>
                <w:rFonts w:ascii="Calibri" w:hAnsi="Calibri" w:cs="Calibri"/>
                <w:color w:val="000000"/>
              </w:rPr>
            </w:pPr>
            <w:r>
              <w:rPr>
                <w:rFonts w:ascii="Calibri" w:hAnsi="Calibri" w:cs="Calibri"/>
                <w:color w:val="000000"/>
              </w:rPr>
              <w:t>ASCOA representative (1)</w:t>
            </w:r>
          </w:p>
        </w:tc>
        <w:tc>
          <w:tcPr>
            <w:tcW w:w="2435" w:type="dxa"/>
          </w:tcPr>
          <w:p w:rsidR="00EE3909" w:rsidRPr="00906227" w:rsidRDefault="0076604E" w:rsidP="0076604E">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r>
      <w:tr w:rsidR="00EE3909" w:rsidRPr="00906227" w:rsidTr="00642F94">
        <w:trPr>
          <w:trHeight w:val="300"/>
        </w:trPr>
        <w:tc>
          <w:tcPr>
            <w:tcW w:w="2756" w:type="dxa"/>
            <w:shd w:val="clear" w:color="auto" w:fill="auto"/>
            <w:noWrap/>
            <w:vAlign w:val="bottom"/>
            <w:hideMark/>
          </w:tcPr>
          <w:p w:rsidR="00EE3909" w:rsidRDefault="00EE3909" w:rsidP="00EE3909">
            <w:pPr>
              <w:rPr>
                <w:rFonts w:ascii="Calibri" w:hAnsi="Calibri" w:cs="Calibri"/>
                <w:color w:val="000000"/>
              </w:rPr>
            </w:pPr>
            <w:r>
              <w:rPr>
                <w:rFonts w:ascii="Calibri" w:hAnsi="Calibri" w:cs="Calibri"/>
                <w:color w:val="000000"/>
              </w:rPr>
              <w:t xml:space="preserve">Lilia </w:t>
            </w:r>
            <w:proofErr w:type="spellStart"/>
            <w:r>
              <w:rPr>
                <w:rFonts w:ascii="Calibri" w:hAnsi="Calibri" w:cs="Calibri"/>
                <w:color w:val="000000"/>
              </w:rPr>
              <w:t>Celhay</w:t>
            </w:r>
            <w:proofErr w:type="spellEnd"/>
          </w:p>
        </w:tc>
        <w:tc>
          <w:tcPr>
            <w:tcW w:w="5514" w:type="dxa"/>
            <w:shd w:val="clear" w:color="auto" w:fill="auto"/>
            <w:noWrap/>
            <w:vAlign w:val="center"/>
            <w:hideMark/>
          </w:tcPr>
          <w:p w:rsidR="00EE3909" w:rsidRDefault="00EE3909" w:rsidP="00EE3909">
            <w:pPr>
              <w:rPr>
                <w:rFonts w:ascii="Calibri" w:hAnsi="Calibri" w:cs="Calibri"/>
                <w:color w:val="000000"/>
              </w:rPr>
            </w:pPr>
            <w:r>
              <w:rPr>
                <w:rFonts w:ascii="Calibri" w:hAnsi="Calibri" w:cs="Calibri"/>
                <w:color w:val="000000"/>
              </w:rPr>
              <w:t>Dean of Academic Pathways</w:t>
            </w:r>
          </w:p>
        </w:tc>
        <w:tc>
          <w:tcPr>
            <w:tcW w:w="2435" w:type="dxa"/>
          </w:tcPr>
          <w:p w:rsidR="00EE3909" w:rsidRPr="00906227" w:rsidRDefault="0076604E" w:rsidP="0076604E">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r>
      <w:tr w:rsidR="00EE3909" w:rsidRPr="00906227" w:rsidTr="00D278C6">
        <w:trPr>
          <w:trHeight w:val="300"/>
        </w:trPr>
        <w:tc>
          <w:tcPr>
            <w:tcW w:w="2756" w:type="dxa"/>
            <w:shd w:val="clear" w:color="auto" w:fill="auto"/>
            <w:noWrap/>
            <w:vAlign w:val="bottom"/>
            <w:hideMark/>
          </w:tcPr>
          <w:p w:rsidR="00EE3909" w:rsidRDefault="00310912" w:rsidP="00EE3909">
            <w:pPr>
              <w:rPr>
                <w:rFonts w:ascii="Calibri" w:hAnsi="Calibri" w:cs="Calibri"/>
                <w:color w:val="000000"/>
              </w:rPr>
            </w:pPr>
            <w:hyperlink r:id="rId17" w:history="1">
              <w:r w:rsidR="00EE3909">
                <w:rPr>
                  <w:rStyle w:val="Hyperlink"/>
                  <w:rFonts w:ascii="Calibri" w:hAnsi="Calibri" w:cs="Calibri"/>
                  <w:color w:val="000000"/>
                </w:rPr>
                <w:t xml:space="preserve">Brenda J. Lewis </w:t>
              </w:r>
            </w:hyperlink>
          </w:p>
        </w:tc>
        <w:tc>
          <w:tcPr>
            <w:tcW w:w="5514" w:type="dxa"/>
            <w:shd w:val="clear" w:color="auto" w:fill="auto"/>
            <w:noWrap/>
            <w:vAlign w:val="center"/>
            <w:hideMark/>
          </w:tcPr>
          <w:p w:rsidR="00EE3909" w:rsidRDefault="00EE3909" w:rsidP="00EE3909">
            <w:pPr>
              <w:rPr>
                <w:rFonts w:ascii="Calibri" w:hAnsi="Calibri" w:cs="Calibri"/>
                <w:color w:val="000000"/>
              </w:rPr>
            </w:pPr>
            <w:r>
              <w:rPr>
                <w:rFonts w:ascii="Calibri" w:hAnsi="Calibri" w:cs="Calibri"/>
                <w:color w:val="000000"/>
              </w:rPr>
              <w:t>Staff Assistant</w:t>
            </w:r>
          </w:p>
        </w:tc>
        <w:tc>
          <w:tcPr>
            <w:tcW w:w="2435" w:type="dxa"/>
          </w:tcPr>
          <w:p w:rsidR="00EE3909" w:rsidRPr="00906227" w:rsidRDefault="00EE3909" w:rsidP="0076604E">
            <w:pPr>
              <w:spacing w:after="0" w:line="240" w:lineRule="auto"/>
              <w:jc w:val="center"/>
              <w:rPr>
                <w:rFonts w:ascii="Calibri" w:eastAsia="Times New Roman" w:hAnsi="Calibri" w:cs="Calibri"/>
                <w:color w:val="000000"/>
              </w:rPr>
            </w:pPr>
          </w:p>
        </w:tc>
      </w:tr>
      <w:tr w:rsidR="00EE3909" w:rsidRPr="00906227" w:rsidTr="00D278C6">
        <w:trPr>
          <w:trHeight w:val="300"/>
        </w:trPr>
        <w:tc>
          <w:tcPr>
            <w:tcW w:w="2756" w:type="dxa"/>
            <w:shd w:val="clear" w:color="auto" w:fill="auto"/>
            <w:noWrap/>
            <w:vAlign w:val="bottom"/>
            <w:hideMark/>
          </w:tcPr>
          <w:p w:rsidR="00EE3909" w:rsidRDefault="00310912" w:rsidP="00EE3909">
            <w:pPr>
              <w:rPr>
                <w:rFonts w:ascii="Calibri" w:hAnsi="Calibri" w:cs="Calibri"/>
                <w:color w:val="000000"/>
              </w:rPr>
            </w:pPr>
            <w:hyperlink r:id="rId18" w:history="1">
              <w:r w:rsidR="00EE3909">
                <w:rPr>
                  <w:rStyle w:val="Hyperlink"/>
                  <w:rFonts w:ascii="Calibri" w:hAnsi="Calibri" w:cs="Calibri"/>
                  <w:color w:val="000000"/>
                </w:rPr>
                <w:t xml:space="preserve">Lashawn Brumfield </w:t>
              </w:r>
            </w:hyperlink>
          </w:p>
        </w:tc>
        <w:tc>
          <w:tcPr>
            <w:tcW w:w="5514" w:type="dxa"/>
            <w:shd w:val="clear" w:color="auto" w:fill="auto"/>
            <w:noWrap/>
            <w:vAlign w:val="center"/>
            <w:hideMark/>
          </w:tcPr>
          <w:p w:rsidR="00EE3909" w:rsidRDefault="00EE3909" w:rsidP="00EE3909">
            <w:pPr>
              <w:rPr>
                <w:rFonts w:ascii="Calibri" w:hAnsi="Calibri" w:cs="Calibri"/>
                <w:color w:val="000000"/>
              </w:rPr>
            </w:pPr>
            <w:r>
              <w:rPr>
                <w:rFonts w:ascii="Calibri" w:hAnsi="Calibri" w:cs="Calibri"/>
                <w:color w:val="000000"/>
              </w:rPr>
              <w:t>Staff Assistant</w:t>
            </w:r>
          </w:p>
        </w:tc>
        <w:tc>
          <w:tcPr>
            <w:tcW w:w="2435" w:type="dxa"/>
          </w:tcPr>
          <w:p w:rsidR="00EE3909" w:rsidRPr="00906227" w:rsidRDefault="00EE3909" w:rsidP="0076604E">
            <w:pPr>
              <w:spacing w:after="0" w:line="240" w:lineRule="auto"/>
              <w:jc w:val="center"/>
              <w:rPr>
                <w:rFonts w:ascii="Calibri" w:eastAsia="Times New Roman" w:hAnsi="Calibri" w:cs="Calibri"/>
                <w:color w:val="000000"/>
              </w:rPr>
            </w:pPr>
          </w:p>
        </w:tc>
      </w:tr>
      <w:tr w:rsidR="00EE3909" w:rsidRPr="00906227" w:rsidTr="00D278C6">
        <w:trPr>
          <w:trHeight w:val="300"/>
        </w:trPr>
        <w:tc>
          <w:tcPr>
            <w:tcW w:w="2756" w:type="dxa"/>
            <w:shd w:val="clear" w:color="auto" w:fill="auto"/>
            <w:noWrap/>
            <w:vAlign w:val="bottom"/>
            <w:hideMark/>
          </w:tcPr>
          <w:p w:rsidR="00EE3909" w:rsidRDefault="00310912" w:rsidP="00EE3909">
            <w:pPr>
              <w:rPr>
                <w:rFonts w:ascii="Calibri" w:hAnsi="Calibri" w:cs="Calibri"/>
                <w:color w:val="000000"/>
              </w:rPr>
            </w:pPr>
            <w:hyperlink r:id="rId19" w:history="1">
              <w:r w:rsidR="00EE3909">
                <w:rPr>
                  <w:rStyle w:val="Hyperlink"/>
                  <w:rFonts w:ascii="Calibri" w:hAnsi="Calibri" w:cs="Calibri"/>
                  <w:color w:val="000000"/>
                </w:rPr>
                <w:t xml:space="preserve">Shuntel Owens Rogers </w:t>
              </w:r>
            </w:hyperlink>
          </w:p>
        </w:tc>
        <w:tc>
          <w:tcPr>
            <w:tcW w:w="5514" w:type="dxa"/>
            <w:shd w:val="clear" w:color="auto" w:fill="auto"/>
            <w:noWrap/>
            <w:vAlign w:val="center"/>
            <w:hideMark/>
          </w:tcPr>
          <w:p w:rsidR="00EE3909" w:rsidRDefault="00EE3909" w:rsidP="00EE3909">
            <w:pPr>
              <w:rPr>
                <w:rFonts w:ascii="Calibri" w:hAnsi="Calibri" w:cs="Calibri"/>
                <w:color w:val="000000"/>
              </w:rPr>
            </w:pPr>
            <w:r>
              <w:rPr>
                <w:rFonts w:ascii="Calibri" w:hAnsi="Calibri" w:cs="Calibri"/>
                <w:color w:val="000000"/>
              </w:rPr>
              <w:t>Classified Senate President</w:t>
            </w:r>
          </w:p>
        </w:tc>
        <w:tc>
          <w:tcPr>
            <w:tcW w:w="2435" w:type="dxa"/>
          </w:tcPr>
          <w:p w:rsidR="00EE3909" w:rsidRPr="00906227" w:rsidRDefault="0076604E" w:rsidP="0076604E">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r>
      <w:tr w:rsidR="00EE3909" w:rsidRPr="00906227" w:rsidTr="00D278C6">
        <w:trPr>
          <w:trHeight w:val="300"/>
        </w:trPr>
        <w:tc>
          <w:tcPr>
            <w:tcW w:w="2756" w:type="dxa"/>
            <w:shd w:val="clear" w:color="auto" w:fill="auto"/>
            <w:noWrap/>
            <w:vAlign w:val="bottom"/>
          </w:tcPr>
          <w:p w:rsidR="00EE3909" w:rsidRDefault="00EE3909" w:rsidP="00EE3909">
            <w:pPr>
              <w:rPr>
                <w:rFonts w:ascii="Calibri" w:hAnsi="Calibri" w:cs="Calibri"/>
                <w:color w:val="000000"/>
              </w:rPr>
            </w:pPr>
            <w:r>
              <w:rPr>
                <w:rFonts w:ascii="Calibri" w:hAnsi="Calibri" w:cs="Calibri"/>
                <w:color w:val="000000"/>
              </w:rPr>
              <w:t>Peter Pap</w:t>
            </w:r>
            <w:r w:rsidR="0076604E">
              <w:rPr>
                <w:rFonts w:ascii="Calibri" w:hAnsi="Calibri" w:cs="Calibri"/>
                <w:color w:val="000000"/>
              </w:rPr>
              <w:t>p</w:t>
            </w:r>
            <w:r>
              <w:rPr>
                <w:rFonts w:ascii="Calibri" w:hAnsi="Calibri" w:cs="Calibri"/>
                <w:color w:val="000000"/>
              </w:rPr>
              <w:t xml:space="preserve">as </w:t>
            </w:r>
          </w:p>
        </w:tc>
        <w:tc>
          <w:tcPr>
            <w:tcW w:w="5514" w:type="dxa"/>
            <w:shd w:val="clear" w:color="auto" w:fill="auto"/>
            <w:noWrap/>
            <w:vAlign w:val="center"/>
          </w:tcPr>
          <w:p w:rsidR="00EE3909" w:rsidRDefault="00EE3909" w:rsidP="00EE3909">
            <w:pPr>
              <w:rPr>
                <w:rFonts w:ascii="Calibri" w:hAnsi="Calibri" w:cs="Calibri"/>
                <w:color w:val="000000"/>
              </w:rPr>
            </w:pPr>
            <w:r>
              <w:rPr>
                <w:rFonts w:ascii="Calibri" w:hAnsi="Calibri" w:cs="Calibri"/>
                <w:color w:val="000000"/>
              </w:rPr>
              <w:t>Faculty</w:t>
            </w:r>
          </w:p>
        </w:tc>
        <w:tc>
          <w:tcPr>
            <w:tcW w:w="2435" w:type="dxa"/>
          </w:tcPr>
          <w:p w:rsidR="00EE3909" w:rsidRPr="00906227" w:rsidRDefault="0076604E" w:rsidP="0076604E">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r>
      <w:tr w:rsidR="00EE3909" w:rsidRPr="00906227" w:rsidTr="00D278C6">
        <w:trPr>
          <w:trHeight w:val="300"/>
        </w:trPr>
        <w:tc>
          <w:tcPr>
            <w:tcW w:w="2756" w:type="dxa"/>
            <w:shd w:val="clear" w:color="auto" w:fill="auto"/>
            <w:noWrap/>
            <w:vAlign w:val="bottom"/>
          </w:tcPr>
          <w:p w:rsidR="00EE3909" w:rsidRDefault="00310912" w:rsidP="00EE3909">
            <w:pPr>
              <w:rPr>
                <w:rFonts w:ascii="Calibri" w:hAnsi="Calibri" w:cs="Calibri"/>
                <w:color w:val="000000"/>
              </w:rPr>
            </w:pPr>
            <w:hyperlink r:id="rId20" w:history="1">
              <w:r w:rsidR="00EE3909">
                <w:rPr>
                  <w:rStyle w:val="Hyperlink"/>
                  <w:rFonts w:ascii="Calibri" w:hAnsi="Calibri" w:cs="Calibri"/>
                  <w:color w:val="000000"/>
                </w:rPr>
                <w:t xml:space="preserve">Mary Shaughnessy </w:t>
              </w:r>
            </w:hyperlink>
          </w:p>
        </w:tc>
        <w:tc>
          <w:tcPr>
            <w:tcW w:w="5514" w:type="dxa"/>
            <w:shd w:val="clear" w:color="auto" w:fill="auto"/>
            <w:noWrap/>
            <w:vAlign w:val="center"/>
          </w:tcPr>
          <w:p w:rsidR="00EE3909" w:rsidRDefault="00EE3909" w:rsidP="00EE3909">
            <w:pPr>
              <w:rPr>
                <w:rFonts w:ascii="Calibri" w:hAnsi="Calibri" w:cs="Calibri"/>
                <w:color w:val="000000"/>
              </w:rPr>
            </w:pPr>
            <w:r>
              <w:rPr>
                <w:rFonts w:ascii="Calibri" w:hAnsi="Calibri" w:cs="Calibri"/>
                <w:color w:val="000000"/>
              </w:rPr>
              <w:t xml:space="preserve">Faculty </w:t>
            </w:r>
          </w:p>
        </w:tc>
        <w:tc>
          <w:tcPr>
            <w:tcW w:w="2435" w:type="dxa"/>
          </w:tcPr>
          <w:p w:rsidR="00EE3909" w:rsidRPr="00906227" w:rsidRDefault="00EE3909" w:rsidP="0076604E">
            <w:pPr>
              <w:spacing w:after="0" w:line="240" w:lineRule="auto"/>
              <w:jc w:val="center"/>
              <w:rPr>
                <w:rFonts w:ascii="Calibri" w:eastAsia="Times New Roman" w:hAnsi="Calibri" w:cs="Calibri"/>
                <w:color w:val="000000"/>
              </w:rPr>
            </w:pPr>
          </w:p>
        </w:tc>
      </w:tr>
      <w:tr w:rsidR="00EE3909" w:rsidRPr="00906227" w:rsidTr="00D278C6">
        <w:trPr>
          <w:trHeight w:val="300"/>
        </w:trPr>
        <w:tc>
          <w:tcPr>
            <w:tcW w:w="2756" w:type="dxa"/>
            <w:shd w:val="clear" w:color="auto" w:fill="auto"/>
            <w:noWrap/>
            <w:vAlign w:val="bottom"/>
          </w:tcPr>
          <w:p w:rsidR="00EE3909" w:rsidRDefault="00310912" w:rsidP="00EE3909">
            <w:pPr>
              <w:rPr>
                <w:rFonts w:ascii="Calibri" w:hAnsi="Calibri" w:cs="Calibri"/>
                <w:color w:val="000000"/>
              </w:rPr>
            </w:pPr>
            <w:hyperlink r:id="rId21" w:history="1">
              <w:r w:rsidR="00EE3909">
                <w:rPr>
                  <w:rStyle w:val="Hyperlink"/>
                  <w:rFonts w:ascii="Calibri" w:hAnsi="Calibri" w:cs="Calibri"/>
                  <w:color w:val="000000"/>
                </w:rPr>
                <w:t xml:space="preserve">Arthur Morgan </w:t>
              </w:r>
            </w:hyperlink>
          </w:p>
        </w:tc>
        <w:tc>
          <w:tcPr>
            <w:tcW w:w="5514" w:type="dxa"/>
            <w:shd w:val="clear" w:color="auto" w:fill="auto"/>
            <w:noWrap/>
            <w:vAlign w:val="center"/>
          </w:tcPr>
          <w:p w:rsidR="00EE3909" w:rsidRDefault="00EE3909" w:rsidP="00EE3909">
            <w:pPr>
              <w:rPr>
                <w:rFonts w:ascii="Calibri" w:hAnsi="Calibri" w:cs="Calibri"/>
                <w:color w:val="000000"/>
              </w:rPr>
            </w:pPr>
            <w:r>
              <w:rPr>
                <w:rFonts w:ascii="Calibri" w:hAnsi="Calibri" w:cs="Calibri"/>
                <w:color w:val="000000"/>
              </w:rPr>
              <w:t xml:space="preserve">Faculty </w:t>
            </w:r>
          </w:p>
        </w:tc>
        <w:tc>
          <w:tcPr>
            <w:tcW w:w="2435" w:type="dxa"/>
          </w:tcPr>
          <w:p w:rsidR="00EE3909" w:rsidRPr="00906227" w:rsidRDefault="00EE3909" w:rsidP="0076604E">
            <w:pPr>
              <w:spacing w:after="0" w:line="240" w:lineRule="auto"/>
              <w:jc w:val="center"/>
              <w:rPr>
                <w:rFonts w:ascii="Calibri" w:eastAsia="Times New Roman" w:hAnsi="Calibri" w:cs="Calibri"/>
                <w:color w:val="000000"/>
              </w:rPr>
            </w:pPr>
          </w:p>
        </w:tc>
      </w:tr>
    </w:tbl>
    <w:p w:rsidR="00906227" w:rsidRDefault="00906227"/>
    <w:p w:rsidR="00AA428E" w:rsidRDefault="00AA428E"/>
    <w:p w:rsidR="00AA428E" w:rsidRDefault="00AA428E"/>
    <w:sectPr w:rsidR="00AA428E" w:rsidSect="00DC7FBA">
      <w:pgSz w:w="15840" w:h="12240" w:orient="landscape"/>
      <w:pgMar w:top="720" w:right="43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A043C"/>
    <w:multiLevelType w:val="hybridMultilevel"/>
    <w:tmpl w:val="35B0088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1006663"/>
    <w:multiLevelType w:val="hybridMultilevel"/>
    <w:tmpl w:val="F000F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17636"/>
    <w:multiLevelType w:val="hybridMultilevel"/>
    <w:tmpl w:val="94146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A777E"/>
    <w:multiLevelType w:val="hybridMultilevel"/>
    <w:tmpl w:val="EF4E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875C4"/>
    <w:multiLevelType w:val="hybridMultilevel"/>
    <w:tmpl w:val="6C08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F1F0E"/>
    <w:multiLevelType w:val="hybridMultilevel"/>
    <w:tmpl w:val="5AB8CC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FD2ED7"/>
    <w:multiLevelType w:val="hybridMultilevel"/>
    <w:tmpl w:val="4EC40E1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742027"/>
    <w:multiLevelType w:val="hybridMultilevel"/>
    <w:tmpl w:val="7F0C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7D105E"/>
    <w:multiLevelType w:val="hybridMultilevel"/>
    <w:tmpl w:val="215E9B6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E6594B"/>
    <w:multiLevelType w:val="hybridMultilevel"/>
    <w:tmpl w:val="50ECFB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0E03216"/>
    <w:multiLevelType w:val="hybridMultilevel"/>
    <w:tmpl w:val="4F6A0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28E32B5"/>
    <w:multiLevelType w:val="hybridMultilevel"/>
    <w:tmpl w:val="DE6A2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6A700E"/>
    <w:multiLevelType w:val="hybridMultilevel"/>
    <w:tmpl w:val="2102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F82655"/>
    <w:multiLevelType w:val="hybridMultilevel"/>
    <w:tmpl w:val="A9FCC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E5301B8"/>
    <w:multiLevelType w:val="hybridMultilevel"/>
    <w:tmpl w:val="3330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2"/>
  </w:num>
  <w:num w:numId="4">
    <w:abstractNumId w:val="13"/>
  </w:num>
  <w:num w:numId="5">
    <w:abstractNumId w:val="0"/>
  </w:num>
  <w:num w:numId="6">
    <w:abstractNumId w:val="9"/>
  </w:num>
  <w:num w:numId="7">
    <w:abstractNumId w:val="3"/>
  </w:num>
  <w:num w:numId="8">
    <w:abstractNumId w:val="7"/>
  </w:num>
  <w:num w:numId="9">
    <w:abstractNumId w:val="4"/>
  </w:num>
  <w:num w:numId="10">
    <w:abstractNumId w:val="11"/>
  </w:num>
  <w:num w:numId="11">
    <w:abstractNumId w:val="6"/>
  </w:num>
  <w:num w:numId="12">
    <w:abstractNumId w:val="14"/>
  </w:num>
  <w:num w:numId="13">
    <w:abstractNumId w:val="8"/>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27"/>
    <w:rsid w:val="00015050"/>
    <w:rsid w:val="001C5FDF"/>
    <w:rsid w:val="002125A0"/>
    <w:rsid w:val="00310912"/>
    <w:rsid w:val="00326E78"/>
    <w:rsid w:val="00417A78"/>
    <w:rsid w:val="004B6798"/>
    <w:rsid w:val="005115B3"/>
    <w:rsid w:val="0076604E"/>
    <w:rsid w:val="008F4B28"/>
    <w:rsid w:val="00906227"/>
    <w:rsid w:val="009261BF"/>
    <w:rsid w:val="00973CD6"/>
    <w:rsid w:val="00A900EA"/>
    <w:rsid w:val="00AA428E"/>
    <w:rsid w:val="00AD7307"/>
    <w:rsid w:val="00B939ED"/>
    <w:rsid w:val="00BB6CC2"/>
    <w:rsid w:val="00BC74FA"/>
    <w:rsid w:val="00C833C7"/>
    <w:rsid w:val="00CA1B68"/>
    <w:rsid w:val="00CB3A64"/>
    <w:rsid w:val="00CD59A6"/>
    <w:rsid w:val="00D278C6"/>
    <w:rsid w:val="00DA3F39"/>
    <w:rsid w:val="00DC7FBA"/>
    <w:rsid w:val="00DF7F6B"/>
    <w:rsid w:val="00E1457A"/>
    <w:rsid w:val="00E45A32"/>
    <w:rsid w:val="00EE3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C85ED-BCFD-436F-91B2-735EAB91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227"/>
    <w:pPr>
      <w:spacing w:after="160"/>
    </w:pPr>
  </w:style>
  <w:style w:type="paragraph" w:styleId="Heading1">
    <w:name w:val="heading 1"/>
    <w:basedOn w:val="Normal"/>
    <w:next w:val="Normal"/>
    <w:link w:val="Heading1Char"/>
    <w:uiPriority w:val="9"/>
    <w:qFormat/>
    <w:rsid w:val="009062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22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06227"/>
    <w:pPr>
      <w:ind w:left="720"/>
      <w:contextualSpacing/>
    </w:pPr>
  </w:style>
  <w:style w:type="table" w:styleId="TableGrid">
    <w:name w:val="Table Grid"/>
    <w:basedOn w:val="TableNormal"/>
    <w:uiPriority w:val="39"/>
    <w:rsid w:val="009062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6227"/>
    <w:rPr>
      <w:color w:val="0563C1"/>
      <w:u w:val="single"/>
    </w:rPr>
  </w:style>
  <w:style w:type="character" w:styleId="FollowedHyperlink">
    <w:name w:val="FollowedHyperlink"/>
    <w:basedOn w:val="DefaultParagraphFont"/>
    <w:uiPriority w:val="99"/>
    <w:semiHidden/>
    <w:unhideWhenUsed/>
    <w:rsid w:val="00417A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451495">
      <w:bodyDiv w:val="1"/>
      <w:marLeft w:val="0"/>
      <w:marRight w:val="0"/>
      <w:marTop w:val="0"/>
      <w:marBottom w:val="0"/>
      <w:divBdr>
        <w:top w:val="none" w:sz="0" w:space="0" w:color="auto"/>
        <w:left w:val="none" w:sz="0" w:space="0" w:color="auto"/>
        <w:bottom w:val="none" w:sz="0" w:space="0" w:color="auto"/>
        <w:right w:val="none" w:sz="0" w:space="0" w:color="auto"/>
      </w:divBdr>
    </w:div>
    <w:div w:id="124722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benvenutti@peralta.edu" TargetMode="External"/><Relationship Id="rId13" Type="http://schemas.openxmlformats.org/officeDocument/2006/relationships/hyperlink" Target="mailto:mgoldstein@peralta.edu" TargetMode="External"/><Relationship Id="rId18" Type="http://schemas.openxmlformats.org/officeDocument/2006/relationships/hyperlink" Target="mailto:lbrumfield@peralta.edu" TargetMode="External"/><Relationship Id="rId3" Type="http://schemas.openxmlformats.org/officeDocument/2006/relationships/settings" Target="settings.xml"/><Relationship Id="rId21" Type="http://schemas.openxmlformats.org/officeDocument/2006/relationships/hyperlink" Target="mailto:amorgan@peralta.edu" TargetMode="External"/><Relationship Id="rId7" Type="http://schemas.openxmlformats.org/officeDocument/2006/relationships/hyperlink" Target="http://alameda.peralta.edu/office-of-research-planning-and-institutional-effectiveness/office-of-research-planning-and-institutional-effectiveness/participatory-governance/" TargetMode="External"/><Relationship Id="rId12" Type="http://schemas.openxmlformats.org/officeDocument/2006/relationships/hyperlink" Target="mailto:eclifford@peralta.edu" TargetMode="External"/><Relationship Id="rId17" Type="http://schemas.openxmlformats.org/officeDocument/2006/relationships/hyperlink" Target="mailto:bjlewis@peralta.edu" TargetMode="External"/><Relationship Id="rId2" Type="http://schemas.openxmlformats.org/officeDocument/2006/relationships/styles" Target="styles.xml"/><Relationship Id="rId16" Type="http://schemas.openxmlformats.org/officeDocument/2006/relationships/hyperlink" Target="mailto:kengel@peralta.edu" TargetMode="External"/><Relationship Id="rId20" Type="http://schemas.openxmlformats.org/officeDocument/2006/relationships/hyperlink" Target="mailto:mshaughnessy@peralta.edu" TargetMode="External"/><Relationship Id="rId1" Type="http://schemas.openxmlformats.org/officeDocument/2006/relationships/numbering" Target="numbering.xml"/><Relationship Id="rId6" Type="http://schemas.openxmlformats.org/officeDocument/2006/relationships/hyperlink" Target="http://www.alameda.peralta.edu/office-of-research-planning-and-institutional-effectiveness/guided-pathways/" TargetMode="External"/><Relationship Id="rId11" Type="http://schemas.openxmlformats.org/officeDocument/2006/relationships/hyperlink" Target="mailto:dburgess@peralta.edu" TargetMode="External"/><Relationship Id="rId5" Type="http://schemas.openxmlformats.org/officeDocument/2006/relationships/image" Target="media/image1.jpeg"/><Relationship Id="rId15" Type="http://schemas.openxmlformats.org/officeDocument/2006/relationships/hyperlink" Target="mailto:rolive@peralta.edu" TargetMode="External"/><Relationship Id="rId23" Type="http://schemas.openxmlformats.org/officeDocument/2006/relationships/theme" Target="theme/theme1.xml"/><Relationship Id="rId10" Type="http://schemas.openxmlformats.org/officeDocument/2006/relationships/hyperlink" Target="mailto:ahlee@peralta.edu" TargetMode="External"/><Relationship Id="rId19" Type="http://schemas.openxmlformats.org/officeDocument/2006/relationships/hyperlink" Target="mailto:sowensrogers@peralta.edu" TargetMode="External"/><Relationship Id="rId4" Type="http://schemas.openxmlformats.org/officeDocument/2006/relationships/webSettings" Target="webSettings.xml"/><Relationship Id="rId9" Type="http://schemas.openxmlformats.org/officeDocument/2006/relationships/hyperlink" Target="mailto:myronjordan@peralta.edu" TargetMode="External"/><Relationship Id="rId14" Type="http://schemas.openxmlformats.org/officeDocument/2006/relationships/hyperlink" Target="mailto:jmears@peralta.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4</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Engel</dc:creator>
  <cp:keywords/>
  <dc:description/>
  <cp:lastModifiedBy>Karen Engel</cp:lastModifiedBy>
  <cp:revision>5</cp:revision>
  <dcterms:created xsi:type="dcterms:W3CDTF">2017-11-21T20:19:00Z</dcterms:created>
  <dcterms:modified xsi:type="dcterms:W3CDTF">2017-11-22T00:59:00Z</dcterms:modified>
</cp:coreProperties>
</file>