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3031" w14:textId="36B3030A" w:rsidR="00275F7F" w:rsidRPr="00243FF9" w:rsidRDefault="00740826" w:rsidP="0059702C">
      <w:pPr>
        <w:jc w:val="center"/>
        <w:rPr>
          <w:rFonts w:cs="Times New Roman"/>
          <w:b/>
          <w:sz w:val="28"/>
        </w:rPr>
      </w:pPr>
      <w:r w:rsidRPr="00CD0070">
        <w:rPr>
          <w:rFonts w:ascii="Arial" w:hAnsi="Arial" w:cs="Arial"/>
          <w:noProof/>
          <w:color w:val="565656"/>
          <w:sz w:val="18"/>
          <w:szCs w:val="18"/>
        </w:rPr>
        <w:drawing>
          <wp:anchor distT="0" distB="0" distL="114300" distR="114300" simplePos="0" relativeHeight="251658240" behindDoc="0" locked="0" layoutInCell="1" allowOverlap="1" wp14:anchorId="271CA5BB" wp14:editId="3236A5A1">
            <wp:simplePos x="0" y="0"/>
            <wp:positionH relativeFrom="column">
              <wp:posOffset>63500</wp:posOffset>
            </wp:positionH>
            <wp:positionV relativeFrom="paragraph">
              <wp:posOffset>0</wp:posOffset>
            </wp:positionV>
            <wp:extent cx="962025" cy="1247775"/>
            <wp:effectExtent l="0" t="0" r="9525" b="9525"/>
            <wp:wrapSquare wrapText="bothSides"/>
            <wp:docPr id="1" name="Picture 1" descr="COA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247775"/>
                    </a:xfrm>
                    <a:prstGeom prst="rect">
                      <a:avLst/>
                    </a:prstGeom>
                    <a:noFill/>
                    <a:ln>
                      <a:noFill/>
                    </a:ln>
                  </pic:spPr>
                </pic:pic>
              </a:graphicData>
            </a:graphic>
          </wp:anchor>
        </w:drawing>
      </w:r>
      <w:r w:rsidR="00275F7F" w:rsidRPr="00243FF9">
        <w:rPr>
          <w:rFonts w:cs="Times New Roman"/>
          <w:b/>
          <w:sz w:val="28"/>
        </w:rPr>
        <w:t xml:space="preserve">Budget </w:t>
      </w:r>
      <w:r w:rsidR="00F84A10">
        <w:rPr>
          <w:rFonts w:cs="Times New Roman"/>
          <w:b/>
          <w:sz w:val="28"/>
        </w:rPr>
        <w:t xml:space="preserve">Advisory </w:t>
      </w:r>
      <w:r w:rsidR="00275F7F" w:rsidRPr="00243FF9">
        <w:rPr>
          <w:rFonts w:cs="Times New Roman"/>
          <w:b/>
          <w:sz w:val="28"/>
        </w:rPr>
        <w:t>Committee</w:t>
      </w:r>
    </w:p>
    <w:p w14:paraId="273B93DB" w14:textId="611269BB" w:rsidR="00063AA5" w:rsidRDefault="00275F7F" w:rsidP="0059702C">
      <w:pPr>
        <w:jc w:val="center"/>
        <w:rPr>
          <w:rFonts w:cs="Times New Roman"/>
          <w:b/>
          <w:sz w:val="28"/>
        </w:rPr>
      </w:pPr>
      <w:r w:rsidRPr="00243FF9">
        <w:rPr>
          <w:rFonts w:cs="Times New Roman"/>
          <w:b/>
          <w:sz w:val="28"/>
        </w:rPr>
        <w:t xml:space="preserve">Meeting </w:t>
      </w:r>
      <w:r w:rsidR="00B253E9">
        <w:rPr>
          <w:rFonts w:cs="Times New Roman"/>
          <w:b/>
          <w:sz w:val="28"/>
        </w:rPr>
        <w:t>Notes</w:t>
      </w:r>
    </w:p>
    <w:p w14:paraId="33A3FA0C" w14:textId="521091AC" w:rsidR="00973C8F" w:rsidRDefault="00275F7F" w:rsidP="4961C2BA">
      <w:pPr>
        <w:spacing w:after="0"/>
        <w:jc w:val="center"/>
        <w:rPr>
          <w:rFonts w:cs="Times New Roman"/>
          <w:b/>
          <w:bCs/>
          <w:sz w:val="28"/>
          <w:szCs w:val="28"/>
        </w:rPr>
      </w:pPr>
      <w:r w:rsidRPr="4961C2BA">
        <w:rPr>
          <w:rFonts w:cs="Times New Roman"/>
          <w:b/>
          <w:bCs/>
          <w:sz w:val="28"/>
          <w:szCs w:val="28"/>
        </w:rPr>
        <w:t xml:space="preserve">Date and Time: </w:t>
      </w:r>
      <w:r w:rsidR="464EF097" w:rsidRPr="4961C2BA">
        <w:rPr>
          <w:rFonts w:cs="Times New Roman"/>
          <w:b/>
          <w:bCs/>
          <w:sz w:val="28"/>
          <w:szCs w:val="28"/>
        </w:rPr>
        <w:t>September 14</w:t>
      </w:r>
      <w:r w:rsidR="00740826" w:rsidRPr="4961C2BA">
        <w:rPr>
          <w:rFonts w:cs="Times New Roman"/>
          <w:b/>
          <w:bCs/>
          <w:sz w:val="28"/>
          <w:szCs w:val="28"/>
        </w:rPr>
        <w:t>, 2022</w:t>
      </w:r>
    </w:p>
    <w:p w14:paraId="34BC6EC2" w14:textId="77777777" w:rsidR="00275F7F" w:rsidRPr="00243FF9" w:rsidRDefault="007D7D2F" w:rsidP="0059702C">
      <w:pPr>
        <w:spacing w:after="0"/>
        <w:jc w:val="center"/>
        <w:rPr>
          <w:rFonts w:cs="Times New Roman"/>
          <w:b/>
          <w:sz w:val="28"/>
        </w:rPr>
      </w:pPr>
      <w:r w:rsidRPr="00243FF9">
        <w:rPr>
          <w:rFonts w:cs="Times New Roman"/>
          <w:b/>
          <w:sz w:val="28"/>
        </w:rPr>
        <w:t xml:space="preserve">Meeting Time: 12 </w:t>
      </w:r>
      <w:r w:rsidR="002A46B3">
        <w:rPr>
          <w:rFonts w:cs="Times New Roman"/>
          <w:b/>
          <w:sz w:val="28"/>
        </w:rPr>
        <w:t>– 1:</w:t>
      </w:r>
      <w:r w:rsidR="00C8339B">
        <w:rPr>
          <w:rFonts w:cs="Times New Roman"/>
          <w:b/>
          <w:sz w:val="28"/>
        </w:rPr>
        <w:t>0</w:t>
      </w:r>
      <w:r w:rsidR="002A46B3">
        <w:rPr>
          <w:rFonts w:cs="Times New Roman"/>
          <w:b/>
          <w:sz w:val="28"/>
        </w:rPr>
        <w:t>0 pm</w:t>
      </w:r>
    </w:p>
    <w:p w14:paraId="1A05D430" w14:textId="77777777" w:rsidR="004B6BDC" w:rsidRDefault="004B6BDC" w:rsidP="0059702C">
      <w:pPr>
        <w:spacing w:after="0" w:line="240" w:lineRule="auto"/>
        <w:jc w:val="center"/>
        <w:rPr>
          <w:rFonts w:cs="Times New Roman"/>
          <w:b/>
          <w:sz w:val="28"/>
        </w:rPr>
      </w:pPr>
    </w:p>
    <w:p w14:paraId="32F9E775" w14:textId="77777777" w:rsidR="0059702C" w:rsidRDefault="0059702C" w:rsidP="0059702C">
      <w:pPr>
        <w:spacing w:after="0" w:line="240" w:lineRule="auto"/>
        <w:jc w:val="center"/>
        <w:rPr>
          <w:rFonts w:cs="Times New Roman"/>
          <w:b/>
          <w:sz w:val="28"/>
        </w:rPr>
      </w:pPr>
    </w:p>
    <w:p w14:paraId="3BF1DE7F" w14:textId="2BDC06B4" w:rsidR="00275F7F" w:rsidRDefault="00740826" w:rsidP="0059702C">
      <w:pPr>
        <w:spacing w:after="0" w:line="240" w:lineRule="auto"/>
        <w:jc w:val="center"/>
        <w:rPr>
          <w:rFonts w:cs="Times New Roman"/>
          <w:b/>
          <w:sz w:val="28"/>
        </w:rPr>
      </w:pPr>
      <w:r>
        <w:rPr>
          <w:rFonts w:cs="Times New Roman"/>
          <w:b/>
          <w:sz w:val="28"/>
        </w:rPr>
        <w:t xml:space="preserve">In person in A 149 and/or </w:t>
      </w:r>
      <w:hyperlink r:id="rId12" w:history="1">
        <w:r w:rsidR="00533F1B" w:rsidRPr="00533F1B">
          <w:rPr>
            <w:rStyle w:val="Hyperlink"/>
            <w:rFonts w:cs="Times New Roman"/>
            <w:b/>
            <w:sz w:val="28"/>
          </w:rPr>
          <w:t>Budget Committee ZOOM Room</w:t>
        </w:r>
      </w:hyperlink>
    </w:p>
    <w:p w14:paraId="48F175B1" w14:textId="77777777" w:rsidR="00F84A10" w:rsidRDefault="00F84A10" w:rsidP="0059702C">
      <w:pPr>
        <w:spacing w:after="0" w:line="240" w:lineRule="auto"/>
        <w:jc w:val="center"/>
        <w:rPr>
          <w:rFonts w:cs="Times New Roman"/>
          <w:b/>
          <w:sz w:val="28"/>
        </w:rPr>
      </w:pPr>
    </w:p>
    <w:p w14:paraId="723CF30C" w14:textId="4BD1679E" w:rsidR="00F84A10" w:rsidRPr="00F84A10" w:rsidRDefault="00F84A10" w:rsidP="00F84A10">
      <w:pPr>
        <w:pStyle w:val="NormalWeb"/>
        <w:rPr>
          <w:color w:val="000000"/>
          <w:sz w:val="20"/>
          <w:szCs w:val="20"/>
        </w:rPr>
      </w:pPr>
      <w:r w:rsidRPr="00F84A10">
        <w:rPr>
          <w:color w:val="000000"/>
          <w:sz w:val="20"/>
          <w:szCs w:val="20"/>
        </w:rPr>
        <w:t xml:space="preserve">Co-Chairs: </w:t>
      </w:r>
      <w:r w:rsidR="00740826">
        <w:rPr>
          <w:color w:val="000000"/>
          <w:sz w:val="20"/>
          <w:szCs w:val="20"/>
        </w:rPr>
        <w:t>Augustine Gill</w:t>
      </w:r>
      <w:r w:rsidR="00533F1B">
        <w:rPr>
          <w:color w:val="000000"/>
          <w:sz w:val="20"/>
          <w:szCs w:val="20"/>
        </w:rPr>
        <w:t xml:space="preserve">, Ava Lee Pang, </w:t>
      </w:r>
      <w:r w:rsidR="004B6BDC">
        <w:rPr>
          <w:color w:val="000000"/>
          <w:sz w:val="20"/>
          <w:szCs w:val="20"/>
        </w:rPr>
        <w:t>Jane McKenna</w:t>
      </w:r>
    </w:p>
    <w:p w14:paraId="2744F4D8" w14:textId="2941DFDA" w:rsidR="00F84A10" w:rsidRPr="00F84A10" w:rsidRDefault="00F84A10" w:rsidP="00F84A10">
      <w:pPr>
        <w:pStyle w:val="NormalWeb"/>
        <w:rPr>
          <w:color w:val="000000"/>
          <w:sz w:val="20"/>
          <w:szCs w:val="20"/>
        </w:rPr>
      </w:pPr>
      <w:r w:rsidRPr="00F84A10">
        <w:rPr>
          <w:color w:val="000000"/>
          <w:sz w:val="20"/>
          <w:szCs w:val="20"/>
        </w:rPr>
        <w:t xml:space="preserve">Note </w:t>
      </w:r>
      <w:r>
        <w:rPr>
          <w:color w:val="000000"/>
          <w:sz w:val="20"/>
          <w:szCs w:val="20"/>
        </w:rPr>
        <w:t>T</w:t>
      </w:r>
      <w:r w:rsidRPr="00F84A10">
        <w:rPr>
          <w:color w:val="000000"/>
          <w:sz w:val="20"/>
          <w:szCs w:val="20"/>
        </w:rPr>
        <w:t>aker:</w:t>
      </w:r>
      <w:r w:rsidR="00B253E9">
        <w:rPr>
          <w:color w:val="000000"/>
          <w:sz w:val="20"/>
          <w:szCs w:val="20"/>
        </w:rPr>
        <w:t xml:space="preserve"> </w:t>
      </w:r>
      <w:r w:rsidR="00083A8F">
        <w:rPr>
          <w:color w:val="000000"/>
          <w:sz w:val="20"/>
          <w:szCs w:val="20"/>
        </w:rPr>
        <w:t>John Taylor/</w:t>
      </w:r>
      <w:r w:rsidR="00B253E9" w:rsidRPr="00B253E9">
        <w:rPr>
          <w:color w:val="000000"/>
          <w:sz w:val="20"/>
          <w:szCs w:val="20"/>
        </w:rPr>
        <w:t>Ava Lee-Pang</w:t>
      </w:r>
    </w:p>
    <w:p w14:paraId="1B71C216" w14:textId="737F268A" w:rsidR="00F2363D" w:rsidRDefault="00F84A10" w:rsidP="2A6655C9">
      <w:pPr>
        <w:pStyle w:val="NormalWeb"/>
      </w:pPr>
      <w:r w:rsidRPr="2A6655C9">
        <w:rPr>
          <w:color w:val="000000" w:themeColor="text1"/>
          <w:sz w:val="20"/>
          <w:szCs w:val="20"/>
        </w:rPr>
        <w:t>Committee Members</w:t>
      </w:r>
      <w:r w:rsidR="00740826" w:rsidRPr="2A6655C9">
        <w:rPr>
          <w:color w:val="000000" w:themeColor="text1"/>
          <w:sz w:val="20"/>
          <w:szCs w:val="20"/>
        </w:rPr>
        <w:t xml:space="preserve">: Richard Kaeser (faculty), </w:t>
      </w:r>
      <w:r w:rsidR="00F2363D" w:rsidRPr="2A6655C9">
        <w:rPr>
          <w:color w:val="000000" w:themeColor="text1"/>
          <w:sz w:val="20"/>
          <w:szCs w:val="20"/>
        </w:rPr>
        <w:t>John Taylor</w:t>
      </w:r>
      <w:r w:rsidR="00740826" w:rsidRPr="2A6655C9">
        <w:rPr>
          <w:color w:val="000000" w:themeColor="text1"/>
          <w:sz w:val="20"/>
          <w:szCs w:val="20"/>
        </w:rPr>
        <w:t xml:space="preserve"> (faculty)</w:t>
      </w:r>
      <w:r w:rsidR="00F2363D" w:rsidRPr="2A6655C9">
        <w:rPr>
          <w:color w:val="000000" w:themeColor="text1"/>
          <w:sz w:val="20"/>
          <w:szCs w:val="20"/>
        </w:rPr>
        <w:t>, Jane McKenna</w:t>
      </w:r>
      <w:r w:rsidR="00740826" w:rsidRPr="2A6655C9">
        <w:rPr>
          <w:color w:val="000000" w:themeColor="text1"/>
          <w:sz w:val="20"/>
          <w:szCs w:val="20"/>
        </w:rPr>
        <w:t xml:space="preserve"> (faculty)</w:t>
      </w:r>
      <w:r w:rsidR="00F2363D" w:rsidRPr="2A6655C9">
        <w:rPr>
          <w:color w:val="000000" w:themeColor="text1"/>
          <w:sz w:val="20"/>
          <w:szCs w:val="20"/>
        </w:rPr>
        <w:t xml:space="preserve">, </w:t>
      </w:r>
      <w:r w:rsidR="00740826" w:rsidRPr="2A6655C9">
        <w:rPr>
          <w:color w:val="000000" w:themeColor="text1"/>
          <w:sz w:val="20"/>
          <w:szCs w:val="20"/>
        </w:rPr>
        <w:t>Augustine Gill (VPAS), Diana Bajrami (AVPI), Tina Vasconcellos (VPSS), Ava Lee Pang (classified professional), Louis Martirez (classified profession), Donna Jones (classified professional)</w:t>
      </w:r>
      <w:r w:rsidR="5C453398" w:rsidRPr="2A6655C9">
        <w:rPr>
          <w:color w:val="000000" w:themeColor="text1"/>
          <w:sz w:val="20"/>
          <w:szCs w:val="20"/>
        </w:rPr>
        <w:t xml:space="preserve">, </w:t>
      </w:r>
      <w:r w:rsidR="390B48D4" w:rsidRPr="2A6655C9">
        <w:rPr>
          <w:color w:val="000000" w:themeColor="text1"/>
          <w:sz w:val="20"/>
          <w:szCs w:val="20"/>
        </w:rPr>
        <w:t>Donna Jones (classified professional)</w:t>
      </w:r>
      <w:r w:rsidR="154A921B" w:rsidRPr="2A6655C9">
        <w:rPr>
          <w:color w:val="000000" w:themeColor="text1"/>
          <w:sz w:val="20"/>
          <w:szCs w:val="20"/>
        </w:rPr>
        <w:t xml:space="preserve">, </w:t>
      </w:r>
      <w:r w:rsidR="5C453398" w:rsidRPr="2A6655C9">
        <w:rPr>
          <w:rFonts w:ascii="Calibri" w:eastAsia="Calibri" w:hAnsi="Calibri" w:cs="Calibri"/>
          <w:color w:val="000000" w:themeColor="text1"/>
          <w:sz w:val="20"/>
          <w:szCs w:val="20"/>
        </w:rPr>
        <w:t>Guilherme Pacheco (Student)</w:t>
      </w:r>
      <w:r w:rsidR="3683A306" w:rsidRPr="2A6655C9">
        <w:rPr>
          <w:rFonts w:ascii="Calibri" w:eastAsia="Calibri" w:hAnsi="Calibri" w:cs="Calibri"/>
          <w:color w:val="000000" w:themeColor="text1"/>
          <w:sz w:val="20"/>
          <w:szCs w:val="20"/>
        </w:rPr>
        <w:t xml:space="preserve">-- </w:t>
      </w:r>
      <w:hyperlink r:id="rId13">
        <w:r w:rsidR="3683A306" w:rsidRPr="2A6655C9">
          <w:rPr>
            <w:rStyle w:val="Hyperlink"/>
            <w:rFonts w:ascii="Calibri" w:eastAsia="Calibri" w:hAnsi="Calibri" w:cs="Calibri"/>
            <w:sz w:val="20"/>
            <w:szCs w:val="20"/>
          </w:rPr>
          <w:t>Gui79pachecosantos@gmail.com</w:t>
        </w:r>
      </w:hyperlink>
      <w:r w:rsidR="3683A306" w:rsidRPr="2A6655C9">
        <w:rPr>
          <w:rFonts w:ascii="Calibri" w:eastAsia="Calibri" w:hAnsi="Calibri" w:cs="Calibri"/>
          <w:color w:val="000000" w:themeColor="text1"/>
          <w:sz w:val="20"/>
          <w:szCs w:val="20"/>
        </w:rPr>
        <w:t xml:space="preserve"> </w:t>
      </w:r>
    </w:p>
    <w:p w14:paraId="2693B70D" w14:textId="3358DB7B" w:rsidR="2A6655C9" w:rsidRDefault="00F84A10" w:rsidP="2A6655C9">
      <w:pPr>
        <w:pStyle w:val="NormalWeb"/>
        <w:rPr>
          <w:color w:val="000000" w:themeColor="text1"/>
          <w:sz w:val="20"/>
          <w:szCs w:val="20"/>
        </w:rPr>
      </w:pPr>
      <w:r w:rsidRPr="2A6655C9">
        <w:rPr>
          <w:color w:val="000000" w:themeColor="text1"/>
          <w:sz w:val="20"/>
          <w:szCs w:val="20"/>
        </w:rPr>
        <w:t>Guests:</w:t>
      </w:r>
      <w:r w:rsidR="221B9906" w:rsidRPr="2A6655C9">
        <w:rPr>
          <w:color w:val="000000" w:themeColor="text1"/>
          <w:sz w:val="20"/>
          <w:szCs w:val="20"/>
        </w:rPr>
        <w:t xml:space="preserve"> CM</w:t>
      </w:r>
    </w:p>
    <w:tbl>
      <w:tblPr>
        <w:tblStyle w:val="TableGrid"/>
        <w:tblW w:w="9900" w:type="dxa"/>
        <w:tblInd w:w="-95" w:type="dxa"/>
        <w:tblLook w:val="04A0" w:firstRow="1" w:lastRow="0" w:firstColumn="1" w:lastColumn="0" w:noHBand="0" w:noVBand="1"/>
      </w:tblPr>
      <w:tblGrid>
        <w:gridCol w:w="3118"/>
        <w:gridCol w:w="1158"/>
        <w:gridCol w:w="581"/>
        <w:gridCol w:w="1946"/>
        <w:gridCol w:w="3097"/>
      </w:tblGrid>
      <w:tr w:rsidR="00540ECE" w:rsidRPr="006F1CDA" w14:paraId="02EA561B" w14:textId="77777777" w:rsidTr="00540ECE">
        <w:tc>
          <w:tcPr>
            <w:tcW w:w="3118" w:type="dxa"/>
            <w:shd w:val="clear" w:color="auto" w:fill="E7E6E6" w:themeFill="background2"/>
          </w:tcPr>
          <w:p w14:paraId="178D142C" w14:textId="77777777" w:rsidR="00540ECE" w:rsidRPr="006F1CDA" w:rsidRDefault="00540ECE" w:rsidP="00275F7F">
            <w:pPr>
              <w:jc w:val="center"/>
              <w:rPr>
                <w:rFonts w:cs="Times New Roman"/>
                <w:b/>
              </w:rPr>
            </w:pPr>
            <w:r w:rsidRPr="006F1CDA">
              <w:rPr>
                <w:rFonts w:cs="Times New Roman"/>
                <w:b/>
              </w:rPr>
              <w:t>Topic</w:t>
            </w:r>
          </w:p>
        </w:tc>
        <w:tc>
          <w:tcPr>
            <w:tcW w:w="1158" w:type="dxa"/>
            <w:shd w:val="clear" w:color="auto" w:fill="E7E6E6" w:themeFill="background2"/>
          </w:tcPr>
          <w:p w14:paraId="1A4B9A41" w14:textId="77777777" w:rsidR="00540ECE" w:rsidRPr="006F1CDA" w:rsidRDefault="00540ECE" w:rsidP="00063AA5">
            <w:pPr>
              <w:jc w:val="center"/>
              <w:rPr>
                <w:rFonts w:cs="Times New Roman"/>
                <w:b/>
              </w:rPr>
            </w:pPr>
            <w:r w:rsidRPr="006F1CDA">
              <w:rPr>
                <w:rFonts w:cs="Times New Roman"/>
                <w:b/>
              </w:rPr>
              <w:t>Facilitator</w:t>
            </w:r>
          </w:p>
        </w:tc>
        <w:tc>
          <w:tcPr>
            <w:tcW w:w="581" w:type="dxa"/>
            <w:shd w:val="clear" w:color="auto" w:fill="E7E6E6" w:themeFill="background2"/>
          </w:tcPr>
          <w:p w14:paraId="447B47AF" w14:textId="40AC7218" w:rsidR="00540ECE" w:rsidRPr="006F1CDA" w:rsidRDefault="00540ECE" w:rsidP="00063AA5">
            <w:pPr>
              <w:jc w:val="center"/>
              <w:rPr>
                <w:rFonts w:cs="Times New Roman"/>
                <w:b/>
              </w:rPr>
            </w:pPr>
            <w:r>
              <w:rPr>
                <w:rFonts w:cs="Times New Roman"/>
                <w:b/>
              </w:rPr>
              <w:t>Min</w:t>
            </w:r>
          </w:p>
        </w:tc>
        <w:tc>
          <w:tcPr>
            <w:tcW w:w="1946" w:type="dxa"/>
            <w:shd w:val="clear" w:color="auto" w:fill="E7E6E6" w:themeFill="background2"/>
          </w:tcPr>
          <w:p w14:paraId="616960EA" w14:textId="05AC77C4" w:rsidR="00540ECE" w:rsidRPr="006F1CDA" w:rsidRDefault="00540ECE" w:rsidP="00063AA5">
            <w:pPr>
              <w:jc w:val="center"/>
              <w:rPr>
                <w:rFonts w:cs="Times New Roman"/>
                <w:b/>
              </w:rPr>
            </w:pPr>
            <w:r w:rsidRPr="006F1CDA">
              <w:rPr>
                <w:rFonts w:cs="Times New Roman"/>
                <w:b/>
              </w:rPr>
              <w:t>Action</w:t>
            </w:r>
          </w:p>
        </w:tc>
        <w:tc>
          <w:tcPr>
            <w:tcW w:w="3097" w:type="dxa"/>
            <w:shd w:val="clear" w:color="auto" w:fill="E7E6E6" w:themeFill="background2"/>
          </w:tcPr>
          <w:p w14:paraId="22B7DEC8" w14:textId="77777777" w:rsidR="00540ECE" w:rsidRPr="006F1CDA" w:rsidRDefault="00540ECE" w:rsidP="00063AA5">
            <w:pPr>
              <w:jc w:val="center"/>
              <w:rPr>
                <w:rFonts w:cs="Times New Roman"/>
                <w:b/>
              </w:rPr>
            </w:pPr>
            <w:r>
              <w:rPr>
                <w:rFonts w:cs="Times New Roman"/>
                <w:b/>
              </w:rPr>
              <w:t>Outcomes/Follow Up Actions</w:t>
            </w:r>
          </w:p>
        </w:tc>
      </w:tr>
      <w:tr w:rsidR="00540ECE" w:rsidRPr="006F1CDA" w14:paraId="439A36D9" w14:textId="77777777" w:rsidTr="00540ECE">
        <w:tc>
          <w:tcPr>
            <w:tcW w:w="3118" w:type="dxa"/>
          </w:tcPr>
          <w:p w14:paraId="72F60D2B" w14:textId="77777777" w:rsidR="00540ECE" w:rsidRPr="00911538" w:rsidRDefault="00540ECE" w:rsidP="00AD7C7F">
            <w:pPr>
              <w:pStyle w:val="ColorfulList-Accent11"/>
              <w:ind w:left="0"/>
              <w:rPr>
                <w:rFonts w:asciiTheme="majorHAnsi" w:hAnsiTheme="majorHAnsi"/>
              </w:rPr>
            </w:pPr>
            <w:r w:rsidRPr="00911538">
              <w:rPr>
                <w:rFonts w:asciiTheme="majorHAnsi" w:hAnsiTheme="majorHAnsi"/>
              </w:rPr>
              <w:t>Call to Order</w:t>
            </w:r>
          </w:p>
        </w:tc>
        <w:tc>
          <w:tcPr>
            <w:tcW w:w="1158" w:type="dxa"/>
          </w:tcPr>
          <w:p w14:paraId="64640FC6" w14:textId="479AD91E" w:rsidR="00540ECE" w:rsidRPr="005E7343" w:rsidRDefault="00540EC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sidRPr="2A6655C9">
              <w:rPr>
                <w:rFonts w:asciiTheme="majorHAnsi" w:eastAsia="Calibri" w:hAnsiTheme="majorHAnsi"/>
              </w:rPr>
              <w:t>Lee-Pang</w:t>
            </w:r>
          </w:p>
        </w:tc>
        <w:tc>
          <w:tcPr>
            <w:tcW w:w="581" w:type="dxa"/>
          </w:tcPr>
          <w:p w14:paraId="07CEE93E" w14:textId="6845D7A1"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2</w:t>
            </w:r>
          </w:p>
        </w:tc>
        <w:tc>
          <w:tcPr>
            <w:tcW w:w="1946" w:type="dxa"/>
          </w:tcPr>
          <w:p w14:paraId="6DBE1816" w14:textId="4879E83B"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Call to order</w:t>
            </w:r>
          </w:p>
        </w:tc>
        <w:tc>
          <w:tcPr>
            <w:tcW w:w="3097" w:type="dxa"/>
          </w:tcPr>
          <w:p w14:paraId="30AEF92E" w14:textId="77777777" w:rsidR="00540ECE" w:rsidRPr="00911538" w:rsidRDefault="00540ECE" w:rsidP="00AD7C7F">
            <w:pPr>
              <w:widowControl w:val="0"/>
              <w:tabs>
                <w:tab w:val="left" w:pos="342"/>
                <w:tab w:val="left" w:pos="560"/>
                <w:tab w:val="left" w:pos="1680"/>
                <w:tab w:val="left" w:pos="2240"/>
                <w:tab w:val="left" w:pos="2800"/>
                <w:tab w:val="left" w:pos="3360"/>
                <w:tab w:val="left" w:pos="3492"/>
                <w:tab w:val="left" w:pos="3920"/>
                <w:tab w:val="left" w:pos="5040"/>
                <w:tab w:val="left" w:pos="5600"/>
                <w:tab w:val="left" w:pos="6160"/>
                <w:tab w:val="left" w:pos="6720"/>
              </w:tabs>
              <w:autoSpaceDE w:val="0"/>
              <w:autoSpaceDN w:val="0"/>
              <w:adjustRightInd w:val="0"/>
              <w:rPr>
                <w:rFonts w:asciiTheme="majorHAnsi" w:hAnsiTheme="majorHAnsi"/>
                <w:kern w:val="2"/>
              </w:rPr>
            </w:pPr>
          </w:p>
        </w:tc>
      </w:tr>
      <w:tr w:rsidR="00540ECE" w:rsidRPr="006F1CDA" w14:paraId="7962BA6C" w14:textId="77777777" w:rsidTr="00540ECE">
        <w:tc>
          <w:tcPr>
            <w:tcW w:w="3118" w:type="dxa"/>
          </w:tcPr>
          <w:p w14:paraId="0E36F435" w14:textId="77777777" w:rsidR="00540ECE" w:rsidRPr="00911538" w:rsidRDefault="00540ECE" w:rsidP="00AD7C7F">
            <w:pPr>
              <w:pStyle w:val="ColorfulList-Accent11"/>
              <w:ind w:left="0"/>
              <w:rPr>
                <w:rFonts w:asciiTheme="majorHAnsi" w:hAnsiTheme="majorHAnsi"/>
              </w:rPr>
            </w:pPr>
            <w:r>
              <w:rPr>
                <w:rFonts w:asciiTheme="majorHAnsi" w:hAnsiTheme="majorHAnsi"/>
              </w:rPr>
              <w:t>Adoption of Agenda</w:t>
            </w:r>
          </w:p>
        </w:tc>
        <w:tc>
          <w:tcPr>
            <w:tcW w:w="1158" w:type="dxa"/>
          </w:tcPr>
          <w:p w14:paraId="6D4352C5" w14:textId="4E8FC4A8" w:rsidR="00540ECE" w:rsidRPr="005E7343" w:rsidRDefault="00540EC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sidRPr="2A6655C9">
              <w:rPr>
                <w:rFonts w:asciiTheme="majorHAnsi" w:eastAsia="Calibri" w:hAnsiTheme="majorHAnsi"/>
              </w:rPr>
              <w:t>Lee-Pang</w:t>
            </w:r>
          </w:p>
        </w:tc>
        <w:tc>
          <w:tcPr>
            <w:tcW w:w="581" w:type="dxa"/>
          </w:tcPr>
          <w:p w14:paraId="6FBC6E3B" w14:textId="522B6484"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3</w:t>
            </w:r>
          </w:p>
        </w:tc>
        <w:tc>
          <w:tcPr>
            <w:tcW w:w="1946" w:type="dxa"/>
          </w:tcPr>
          <w:p w14:paraId="4ACB2E47" w14:textId="27D69FC7"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Adopt the agenda as distributed</w:t>
            </w:r>
          </w:p>
        </w:tc>
        <w:tc>
          <w:tcPr>
            <w:tcW w:w="3097" w:type="dxa"/>
          </w:tcPr>
          <w:p w14:paraId="6FBB240B" w14:textId="12398AA7" w:rsidR="00540ECE" w:rsidRPr="006F1CDA" w:rsidRDefault="00540ECE" w:rsidP="00063AA5">
            <w:pPr>
              <w:jc w:val="center"/>
              <w:rPr>
                <w:rFonts w:cs="Times New Roman"/>
              </w:rPr>
            </w:pPr>
          </w:p>
        </w:tc>
      </w:tr>
      <w:tr w:rsidR="00540ECE" w:rsidRPr="006F1CDA" w14:paraId="053F883D" w14:textId="77777777" w:rsidTr="00540ECE">
        <w:trPr>
          <w:trHeight w:val="395"/>
        </w:trPr>
        <w:tc>
          <w:tcPr>
            <w:tcW w:w="3118" w:type="dxa"/>
          </w:tcPr>
          <w:p w14:paraId="2ABDFA93" w14:textId="271133AA" w:rsidR="00540ECE" w:rsidRPr="00911538" w:rsidRDefault="00540ECE" w:rsidP="004618E3">
            <w:pPr>
              <w:pStyle w:val="ColorfulList-Accent11"/>
              <w:ind w:left="0"/>
              <w:rPr>
                <w:rFonts w:asciiTheme="majorHAnsi" w:hAnsiTheme="majorHAnsi"/>
              </w:rPr>
            </w:pPr>
            <w:r>
              <w:rPr>
                <w:rFonts w:asciiTheme="majorHAnsi" w:hAnsiTheme="majorHAnsi"/>
              </w:rPr>
              <w:t xml:space="preserve">Introductions/Announcements </w:t>
            </w:r>
          </w:p>
        </w:tc>
        <w:tc>
          <w:tcPr>
            <w:tcW w:w="1158" w:type="dxa"/>
          </w:tcPr>
          <w:p w14:paraId="5542B1E4" w14:textId="0F466EEE" w:rsidR="00540ECE" w:rsidRDefault="00540EC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sidRPr="2A6655C9">
              <w:rPr>
                <w:rFonts w:asciiTheme="majorHAnsi" w:hAnsiTheme="majorHAnsi"/>
                <w:kern w:val="2"/>
              </w:rPr>
              <w:t>Gill</w:t>
            </w:r>
          </w:p>
        </w:tc>
        <w:tc>
          <w:tcPr>
            <w:tcW w:w="581" w:type="dxa"/>
          </w:tcPr>
          <w:p w14:paraId="17E4F209" w14:textId="21D5540F" w:rsidR="00540ECE"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5</w:t>
            </w:r>
          </w:p>
        </w:tc>
        <w:tc>
          <w:tcPr>
            <w:tcW w:w="1946" w:type="dxa"/>
          </w:tcPr>
          <w:p w14:paraId="7AAF6585" w14:textId="2ADDBE94" w:rsidR="00540ECE" w:rsidRPr="00911538"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Information</w:t>
            </w:r>
          </w:p>
        </w:tc>
        <w:tc>
          <w:tcPr>
            <w:tcW w:w="3097" w:type="dxa"/>
          </w:tcPr>
          <w:p w14:paraId="35D69C86" w14:textId="77777777" w:rsidR="00540ECE" w:rsidRPr="006F1CDA" w:rsidRDefault="00540ECE" w:rsidP="00063AA5">
            <w:pPr>
              <w:jc w:val="center"/>
              <w:rPr>
                <w:rFonts w:cs="Times New Roman"/>
              </w:rPr>
            </w:pPr>
          </w:p>
        </w:tc>
      </w:tr>
      <w:tr w:rsidR="00540ECE" w:rsidRPr="006F1CDA" w14:paraId="3DC1872A" w14:textId="77777777" w:rsidTr="00540ECE">
        <w:trPr>
          <w:trHeight w:val="395"/>
        </w:trPr>
        <w:tc>
          <w:tcPr>
            <w:tcW w:w="3118" w:type="dxa"/>
          </w:tcPr>
          <w:p w14:paraId="7E02228B" w14:textId="3CEE1930" w:rsidR="00540ECE" w:rsidRDefault="00540ECE" w:rsidP="2A6655C9">
            <w:pPr>
              <w:pStyle w:val="ColorfulList-Accent11"/>
              <w:ind w:left="0"/>
              <w:rPr>
                <w:rFonts w:asciiTheme="majorHAnsi" w:hAnsiTheme="majorHAnsi"/>
              </w:rPr>
            </w:pPr>
            <w:r w:rsidRPr="2A6655C9">
              <w:rPr>
                <w:rFonts w:asciiTheme="majorHAnsi" w:hAnsiTheme="majorHAnsi"/>
              </w:rPr>
              <w:t>Resource Allocation Model Phase 2</w:t>
            </w:r>
          </w:p>
        </w:tc>
        <w:tc>
          <w:tcPr>
            <w:tcW w:w="1158" w:type="dxa"/>
          </w:tcPr>
          <w:p w14:paraId="32F43106" w14:textId="00DD4ADF" w:rsidR="00540ECE" w:rsidRDefault="00540EC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sidRPr="2A6655C9">
              <w:rPr>
                <w:rFonts w:asciiTheme="majorHAnsi" w:hAnsiTheme="majorHAnsi"/>
                <w:kern w:val="2"/>
              </w:rPr>
              <w:t>CM</w:t>
            </w:r>
          </w:p>
        </w:tc>
        <w:tc>
          <w:tcPr>
            <w:tcW w:w="581" w:type="dxa"/>
          </w:tcPr>
          <w:p w14:paraId="5C2472CF" w14:textId="0ECF8AC6" w:rsidR="00540ECE" w:rsidRDefault="00540ECE" w:rsidP="4961C2BA">
            <w:pPr>
              <w:tabs>
                <w:tab w:val="left" w:pos="20"/>
                <w:tab w:val="left" w:pos="720"/>
                <w:tab w:val="left" w:pos="1440"/>
              </w:tabs>
            </w:pPr>
            <w:r>
              <w:t>15</w:t>
            </w:r>
          </w:p>
        </w:tc>
        <w:tc>
          <w:tcPr>
            <w:tcW w:w="1946" w:type="dxa"/>
          </w:tcPr>
          <w:p w14:paraId="5D0976D7" w14:textId="4525F493" w:rsidR="00540ECE" w:rsidRDefault="00540ECE" w:rsidP="4961C2BA">
            <w:pPr>
              <w:tabs>
                <w:tab w:val="left" w:pos="20"/>
                <w:tab w:val="left" w:pos="720"/>
                <w:tab w:val="left" w:pos="1440"/>
              </w:tabs>
              <w:spacing w:line="259" w:lineRule="auto"/>
            </w:pPr>
            <w:r>
              <w:t>Update</w:t>
            </w:r>
          </w:p>
        </w:tc>
        <w:tc>
          <w:tcPr>
            <w:tcW w:w="3097" w:type="dxa"/>
          </w:tcPr>
          <w:p w14:paraId="4F20F0C5" w14:textId="748C7A55" w:rsidR="00540ECE" w:rsidRPr="006F1CDA" w:rsidRDefault="00B21FA4" w:rsidP="00063AA5">
            <w:pPr>
              <w:jc w:val="center"/>
              <w:rPr>
                <w:rFonts w:cs="Times New Roman"/>
              </w:rPr>
            </w:pPr>
            <w:r>
              <w:rPr>
                <w:rFonts w:cs="Times New Roman"/>
              </w:rPr>
              <w:t xml:space="preserve">CM is a contractor for the District to study Resource Allocation Models.  </w:t>
            </w:r>
            <w:r w:rsidR="00881897">
              <w:rPr>
                <w:rFonts w:cs="Times New Roman"/>
              </w:rPr>
              <w:t xml:space="preserve">He indicated that it will be FTES focus based on funding!  And the funding formula will significantly change in 24-25 FY.  The District will have issues with incomes unless PCCD can increase the new 24-25 FY FTES base.  PCCD really need to review the expenditures vs the current and future incomes and how they will affect PCCD’s sustainability beyond 24-25 FY.  </w:t>
            </w:r>
            <w:r>
              <w:rPr>
                <w:rFonts w:cs="Times New Roman"/>
              </w:rPr>
              <w:t xml:space="preserve">He mentioned that the District needs to adopt the resources allocation model in order to better position our financial </w:t>
            </w:r>
            <w:r>
              <w:rPr>
                <w:rFonts w:cs="Times New Roman"/>
              </w:rPr>
              <w:lastRenderedPageBreak/>
              <w:t xml:space="preserve">future.  He stressed that District cannot continue to spend $ that they do not have.  He mentioned that PCCD will not </w:t>
            </w:r>
            <w:r w:rsidR="00E1091D">
              <w:rPr>
                <w:rFonts w:cs="Times New Roman"/>
              </w:rPr>
              <w:t xml:space="preserve">able to sustain themselves </w:t>
            </w:r>
            <w:r w:rsidR="00881897">
              <w:rPr>
                <w:rFonts w:cs="Times New Roman"/>
              </w:rPr>
              <w:t xml:space="preserve">if there are no additional resources to cover the expenditures.  He indicated that he </w:t>
            </w:r>
            <w:r w:rsidR="00821445">
              <w:rPr>
                <w:rFonts w:cs="Times New Roman"/>
              </w:rPr>
              <w:t xml:space="preserve">has been scheduled to </w:t>
            </w:r>
            <w:r w:rsidR="00881897">
              <w:rPr>
                <w:rFonts w:cs="Times New Roman"/>
              </w:rPr>
              <w:t xml:space="preserve">make a presentation </w:t>
            </w:r>
            <w:r w:rsidR="00821445">
              <w:rPr>
                <w:rFonts w:cs="Times New Roman"/>
              </w:rPr>
              <w:t>to the Board in Dec. 2022.</w:t>
            </w:r>
          </w:p>
        </w:tc>
      </w:tr>
      <w:tr w:rsidR="00540ECE" w:rsidRPr="006F1CDA" w14:paraId="5BCBBB39" w14:textId="77777777" w:rsidTr="00540ECE">
        <w:trPr>
          <w:trHeight w:val="395"/>
        </w:trPr>
        <w:tc>
          <w:tcPr>
            <w:tcW w:w="3118" w:type="dxa"/>
          </w:tcPr>
          <w:p w14:paraId="2C99E61C" w14:textId="5F2594D2" w:rsidR="00540ECE" w:rsidRDefault="00540ECE" w:rsidP="004618E3">
            <w:pPr>
              <w:pStyle w:val="ColorfulList-Accent11"/>
              <w:ind w:left="0"/>
            </w:pPr>
            <w:r w:rsidRPr="2A6655C9">
              <w:rPr>
                <w:rFonts w:asciiTheme="majorHAnsi" w:hAnsiTheme="majorHAnsi"/>
              </w:rPr>
              <w:lastRenderedPageBreak/>
              <w:t>Parcel Tax--Draft Expenditure Plan</w:t>
            </w:r>
          </w:p>
          <w:p w14:paraId="24BC585A" w14:textId="4BB7E1F7" w:rsidR="00540ECE" w:rsidRDefault="00540ECE" w:rsidP="2A6655C9">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rPr>
            </w:pPr>
          </w:p>
        </w:tc>
        <w:tc>
          <w:tcPr>
            <w:tcW w:w="1158" w:type="dxa"/>
          </w:tcPr>
          <w:p w14:paraId="68964252" w14:textId="45B3C089" w:rsidR="00540ECE" w:rsidRDefault="00540EC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sidRPr="2A6655C9">
              <w:rPr>
                <w:rFonts w:asciiTheme="majorHAnsi" w:hAnsiTheme="majorHAnsi"/>
              </w:rPr>
              <w:t>Bajrami</w:t>
            </w:r>
          </w:p>
        </w:tc>
        <w:tc>
          <w:tcPr>
            <w:tcW w:w="581" w:type="dxa"/>
          </w:tcPr>
          <w:p w14:paraId="4C782F73" w14:textId="6C242B3D" w:rsidR="00540ECE" w:rsidRDefault="00540ECE" w:rsidP="2A6655C9">
            <w:pPr>
              <w:widowControl w:val="0"/>
              <w:tabs>
                <w:tab w:val="left" w:pos="20"/>
                <w:tab w:val="left" w:pos="720"/>
                <w:tab w:val="left" w:pos="1440"/>
              </w:tabs>
              <w:autoSpaceDE w:val="0"/>
              <w:autoSpaceDN w:val="0"/>
              <w:adjustRightInd w:val="0"/>
            </w:pPr>
            <w:r>
              <w:t>10</w:t>
            </w:r>
          </w:p>
        </w:tc>
        <w:tc>
          <w:tcPr>
            <w:tcW w:w="1946" w:type="dxa"/>
          </w:tcPr>
          <w:p w14:paraId="098054CF" w14:textId="7D554D02" w:rsidR="00540ECE" w:rsidRDefault="00540ECE" w:rsidP="2A6655C9">
            <w:pPr>
              <w:widowControl w:val="0"/>
              <w:tabs>
                <w:tab w:val="left" w:pos="20"/>
                <w:tab w:val="left" w:pos="720"/>
                <w:tab w:val="left" w:pos="1440"/>
              </w:tabs>
              <w:autoSpaceDE w:val="0"/>
              <w:autoSpaceDN w:val="0"/>
              <w:adjustRightInd w:val="0"/>
              <w:spacing w:line="259" w:lineRule="auto"/>
            </w:pPr>
            <w:r>
              <w:t>Report/discussion</w:t>
            </w:r>
          </w:p>
          <w:p w14:paraId="677B2485" w14:textId="36007BC9" w:rsidR="00540ECE" w:rsidRDefault="00540ECE" w:rsidP="2A6655C9">
            <w:pPr>
              <w:widowControl w:val="0"/>
              <w:tabs>
                <w:tab w:val="left" w:pos="20"/>
                <w:tab w:val="left" w:pos="720"/>
                <w:tab w:val="left" w:pos="1440"/>
              </w:tabs>
              <w:autoSpaceDE w:val="0"/>
              <w:autoSpaceDN w:val="0"/>
              <w:adjustRightInd w:val="0"/>
              <w:rPr>
                <w:rFonts w:asciiTheme="majorHAnsi" w:hAnsiTheme="majorHAnsi"/>
                <w:kern w:val="2"/>
              </w:rPr>
            </w:pPr>
          </w:p>
        </w:tc>
        <w:tc>
          <w:tcPr>
            <w:tcW w:w="3097" w:type="dxa"/>
          </w:tcPr>
          <w:p w14:paraId="7A34EF42" w14:textId="2C87D56E" w:rsidR="00540ECE" w:rsidRPr="006F1CDA" w:rsidRDefault="00B253E9" w:rsidP="00063AA5">
            <w:pPr>
              <w:jc w:val="center"/>
              <w:rPr>
                <w:rFonts w:cs="Times New Roman"/>
              </w:rPr>
            </w:pPr>
            <w:r>
              <w:rPr>
                <w:rFonts w:cs="Times New Roman"/>
              </w:rPr>
              <w:t>Bajrami reported that COA has $1,523,087 Parcel Tax allocation for 22-23 FY. It had specific guidelines to spend these funds.  The draft of propose expenditures must be approved by the Board before we can move the funds to specific areas.</w:t>
            </w:r>
          </w:p>
        </w:tc>
      </w:tr>
      <w:tr w:rsidR="00540ECE" w:rsidRPr="006F1CDA" w14:paraId="26EC52DB" w14:textId="77777777" w:rsidTr="00540ECE">
        <w:trPr>
          <w:trHeight w:val="395"/>
        </w:trPr>
        <w:tc>
          <w:tcPr>
            <w:tcW w:w="3118" w:type="dxa"/>
          </w:tcPr>
          <w:p w14:paraId="699AC169" w14:textId="616A7D6A" w:rsidR="00540ECE" w:rsidRPr="00B2107B" w:rsidRDefault="00540ECE" w:rsidP="2A6655C9">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2A6655C9">
              <w:rPr>
                <w:rFonts w:asciiTheme="majorHAnsi" w:eastAsia="MS PGothic" w:hAnsiTheme="majorHAnsi" w:cstheme="majorBidi"/>
              </w:rPr>
              <w:t>21-22 &amp; 22-23 FY Budget</w:t>
            </w:r>
            <w:r w:rsidRPr="2A6655C9">
              <w:rPr>
                <w:rFonts w:asciiTheme="majorHAnsi" w:hAnsiTheme="majorHAnsi"/>
              </w:rPr>
              <w:t xml:space="preserve"> Updates</w:t>
            </w:r>
          </w:p>
          <w:p w14:paraId="715A518B" w14:textId="66536B84" w:rsidR="00540ECE" w:rsidRPr="00B2107B" w:rsidRDefault="00540ECE" w:rsidP="2A6655C9">
            <w:pPr>
              <w:pStyle w:val="ColorfulList-Accent11"/>
              <w:widowControl w:val="0"/>
              <w:autoSpaceDE w:val="0"/>
              <w:autoSpaceDN w:val="0"/>
              <w:adjustRightInd w:val="0"/>
              <w:ind w:left="0"/>
              <w:rPr>
                <w:rFonts w:asciiTheme="majorHAnsi" w:hAnsiTheme="majorHAnsi"/>
              </w:rPr>
            </w:pPr>
          </w:p>
        </w:tc>
        <w:tc>
          <w:tcPr>
            <w:tcW w:w="1158" w:type="dxa"/>
          </w:tcPr>
          <w:p w14:paraId="30F722FB" w14:textId="4D6DB801" w:rsidR="00540ECE" w:rsidRPr="00EE2E2E" w:rsidRDefault="00540EC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themeColor="text1"/>
                <w:kern w:val="2"/>
                <w:sz w:val="20"/>
                <w:szCs w:val="20"/>
              </w:rPr>
            </w:pPr>
            <w:r w:rsidRPr="2A6655C9">
              <w:rPr>
                <w:rFonts w:ascii="Calibri" w:hAnsi="Calibri" w:cs="Calibri"/>
                <w:color w:val="000000" w:themeColor="text1"/>
                <w:sz w:val="20"/>
                <w:szCs w:val="20"/>
              </w:rPr>
              <w:t>Gill/Lee-Pang</w:t>
            </w:r>
          </w:p>
        </w:tc>
        <w:tc>
          <w:tcPr>
            <w:tcW w:w="581" w:type="dxa"/>
          </w:tcPr>
          <w:p w14:paraId="43F4F36A" w14:textId="699D5B65" w:rsidR="00540ECE" w:rsidRDefault="00540ECE" w:rsidP="00632216">
            <w:pPr>
              <w:rPr>
                <w:rFonts w:asciiTheme="majorHAnsi" w:hAnsiTheme="majorHAnsi"/>
                <w:kern w:val="2"/>
              </w:rPr>
            </w:pPr>
            <w:r>
              <w:rPr>
                <w:rFonts w:asciiTheme="majorHAnsi" w:hAnsiTheme="majorHAnsi"/>
                <w:kern w:val="2"/>
              </w:rPr>
              <w:t>15</w:t>
            </w:r>
          </w:p>
        </w:tc>
        <w:tc>
          <w:tcPr>
            <w:tcW w:w="1946" w:type="dxa"/>
          </w:tcPr>
          <w:p w14:paraId="1405B6CD" w14:textId="39C13402" w:rsidR="00540ECE" w:rsidRPr="00911538" w:rsidRDefault="00540ECE" w:rsidP="00632216">
            <w:pPr>
              <w:rPr>
                <w:rFonts w:asciiTheme="majorHAnsi" w:hAnsiTheme="majorHAnsi"/>
                <w:kern w:val="2"/>
              </w:rPr>
            </w:pPr>
            <w:r>
              <w:rPr>
                <w:rFonts w:asciiTheme="majorHAnsi" w:hAnsiTheme="majorHAnsi"/>
                <w:kern w:val="2"/>
              </w:rPr>
              <w:t>Report/information</w:t>
            </w:r>
          </w:p>
        </w:tc>
        <w:tc>
          <w:tcPr>
            <w:tcW w:w="3097" w:type="dxa"/>
          </w:tcPr>
          <w:p w14:paraId="3A42921E" w14:textId="11E87E02" w:rsidR="00540ECE" w:rsidRPr="006F1CDA" w:rsidRDefault="00B253E9" w:rsidP="00063AA5">
            <w:pPr>
              <w:jc w:val="center"/>
              <w:rPr>
                <w:rFonts w:cs="Times New Roman"/>
              </w:rPr>
            </w:pPr>
            <w:r>
              <w:rPr>
                <w:rFonts w:cs="Times New Roman"/>
              </w:rPr>
              <w:t xml:space="preserve">Lee-Pang made a presentation regarding 21-22 FY budgets vs expenditures.  Especially, 21-22 FY had a positive balance of more than $400,000 in fund 01 &amp; 08.  She also presented the 21-22 FY &amp; 22-23 FY </w:t>
            </w:r>
            <w:r w:rsidR="00A907DC">
              <w:rPr>
                <w:rFonts w:cs="Times New Roman"/>
              </w:rPr>
              <w:t xml:space="preserve">budget Summary comparisons.  The presentation slides are available in the Budget Committee folder. </w:t>
            </w:r>
          </w:p>
        </w:tc>
      </w:tr>
      <w:tr w:rsidR="00540ECE" w:rsidRPr="006F1CDA" w14:paraId="07480AAB" w14:textId="77777777" w:rsidTr="00540ECE">
        <w:tc>
          <w:tcPr>
            <w:tcW w:w="3118" w:type="dxa"/>
          </w:tcPr>
          <w:p w14:paraId="21FABE2C" w14:textId="05B032FA" w:rsidR="00540ECE" w:rsidRPr="00911538" w:rsidRDefault="00540ECE" w:rsidP="2A6655C9">
            <w:pPr>
              <w:pStyle w:val="ColorfulList-Accent11"/>
              <w:widowControl w:val="0"/>
              <w:autoSpaceDE w:val="0"/>
              <w:autoSpaceDN w:val="0"/>
              <w:adjustRightInd w:val="0"/>
              <w:ind w:left="0"/>
              <w:rPr>
                <w:rFonts w:asciiTheme="majorHAnsi" w:hAnsiTheme="majorHAnsi"/>
              </w:rPr>
            </w:pPr>
            <w:r w:rsidRPr="2A6655C9">
              <w:rPr>
                <w:rFonts w:asciiTheme="majorHAnsi" w:hAnsiTheme="majorHAnsi"/>
              </w:rPr>
              <w:t>22-23 FY New budget Allocation based on Compendium</w:t>
            </w:r>
          </w:p>
          <w:p w14:paraId="04241C1D" w14:textId="7B295AE7" w:rsidR="00540ECE" w:rsidRPr="00911538" w:rsidRDefault="00540ECE" w:rsidP="2A6655C9">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p>
        </w:tc>
        <w:tc>
          <w:tcPr>
            <w:tcW w:w="1158" w:type="dxa"/>
          </w:tcPr>
          <w:p w14:paraId="785725F3" w14:textId="1B09BC8B" w:rsidR="00540ECE" w:rsidRPr="003601C4" w:rsidRDefault="00540EC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sidRPr="2A6655C9">
              <w:rPr>
                <w:rFonts w:asciiTheme="majorHAnsi" w:hAnsiTheme="majorHAnsi"/>
                <w:kern w:val="2"/>
              </w:rPr>
              <w:t>Gill</w:t>
            </w:r>
          </w:p>
        </w:tc>
        <w:tc>
          <w:tcPr>
            <w:tcW w:w="581" w:type="dxa"/>
          </w:tcPr>
          <w:p w14:paraId="36381582" w14:textId="0C31B308" w:rsidR="00540ECE" w:rsidRPr="2A6655C9" w:rsidRDefault="00540ECE" w:rsidP="2A6655C9">
            <w:pPr>
              <w:rPr>
                <w:rFonts w:asciiTheme="majorHAnsi" w:hAnsiTheme="majorHAnsi"/>
              </w:rPr>
            </w:pPr>
            <w:r>
              <w:rPr>
                <w:rFonts w:asciiTheme="majorHAnsi" w:hAnsiTheme="majorHAnsi"/>
              </w:rPr>
              <w:t>10</w:t>
            </w:r>
          </w:p>
        </w:tc>
        <w:tc>
          <w:tcPr>
            <w:tcW w:w="1946" w:type="dxa"/>
          </w:tcPr>
          <w:p w14:paraId="4257DBEE" w14:textId="272AF650" w:rsidR="00540ECE" w:rsidRPr="00911538" w:rsidRDefault="00540ECE" w:rsidP="2A6655C9">
            <w:pPr>
              <w:rPr>
                <w:rFonts w:asciiTheme="majorHAnsi" w:hAnsiTheme="majorHAnsi"/>
                <w:kern w:val="2"/>
              </w:rPr>
            </w:pPr>
            <w:r w:rsidRPr="2A6655C9">
              <w:rPr>
                <w:rFonts w:asciiTheme="majorHAnsi" w:hAnsiTheme="majorHAnsi"/>
              </w:rPr>
              <w:t>Report/information</w:t>
            </w:r>
          </w:p>
        </w:tc>
        <w:tc>
          <w:tcPr>
            <w:tcW w:w="3097" w:type="dxa"/>
          </w:tcPr>
          <w:p w14:paraId="3F9D0EA8" w14:textId="70EC62BB" w:rsidR="00540ECE" w:rsidRDefault="00A907DC" w:rsidP="00C8339B">
            <w:pPr>
              <w:jc w:val="center"/>
              <w:rPr>
                <w:rFonts w:cs="Times New Roman"/>
              </w:rPr>
            </w:pPr>
            <w:r>
              <w:rPr>
                <w:rFonts w:cs="Times New Roman"/>
              </w:rPr>
              <w:t>Table for the next meeting</w:t>
            </w:r>
          </w:p>
        </w:tc>
      </w:tr>
      <w:tr w:rsidR="00540ECE" w:rsidRPr="006F1CDA" w14:paraId="76BC5C85" w14:textId="77777777" w:rsidTr="00540ECE">
        <w:tc>
          <w:tcPr>
            <w:tcW w:w="3118" w:type="dxa"/>
          </w:tcPr>
          <w:p w14:paraId="53651E89" w14:textId="2E05D74A" w:rsidR="00540ECE" w:rsidRPr="005E7343" w:rsidRDefault="00540ECE" w:rsidP="004B6B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5E7343">
              <w:rPr>
                <w:rFonts w:asciiTheme="majorHAnsi" w:hAnsiTheme="majorHAnsi"/>
              </w:rPr>
              <w:t>Adjournment</w:t>
            </w:r>
          </w:p>
        </w:tc>
        <w:tc>
          <w:tcPr>
            <w:tcW w:w="1158" w:type="dxa"/>
          </w:tcPr>
          <w:p w14:paraId="69515D56" w14:textId="21DF3EA8" w:rsidR="00540ECE" w:rsidRDefault="00540ECE" w:rsidP="004B6BDC">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Lee-Pang</w:t>
            </w:r>
          </w:p>
        </w:tc>
        <w:tc>
          <w:tcPr>
            <w:tcW w:w="581" w:type="dxa"/>
          </w:tcPr>
          <w:p w14:paraId="651E510E" w14:textId="77777777" w:rsidR="00540ECE" w:rsidRDefault="00540ECE" w:rsidP="004B6BDC">
            <w:pPr>
              <w:rPr>
                <w:rFonts w:asciiTheme="majorHAnsi" w:eastAsia="Calibri" w:hAnsiTheme="majorHAnsi"/>
                <w:b/>
                <w:bCs/>
              </w:rPr>
            </w:pPr>
          </w:p>
        </w:tc>
        <w:tc>
          <w:tcPr>
            <w:tcW w:w="1946" w:type="dxa"/>
          </w:tcPr>
          <w:p w14:paraId="717697D6" w14:textId="2CEB9EFC" w:rsidR="00540ECE" w:rsidRPr="004B6BDC" w:rsidRDefault="00540ECE" w:rsidP="004B6BDC">
            <w:pPr>
              <w:rPr>
                <w:rFonts w:asciiTheme="majorHAnsi" w:hAnsiTheme="majorHAnsi"/>
                <w:b/>
                <w:bCs/>
                <w:kern w:val="2"/>
              </w:rPr>
            </w:pPr>
          </w:p>
        </w:tc>
        <w:tc>
          <w:tcPr>
            <w:tcW w:w="3097" w:type="dxa"/>
          </w:tcPr>
          <w:p w14:paraId="6DABE6A6" w14:textId="77777777" w:rsidR="00540ECE" w:rsidRDefault="00540ECE" w:rsidP="004B6BDC">
            <w:pPr>
              <w:jc w:val="center"/>
              <w:rPr>
                <w:rFonts w:cs="Times New Roman"/>
              </w:rPr>
            </w:pPr>
          </w:p>
        </w:tc>
      </w:tr>
    </w:tbl>
    <w:p w14:paraId="71ABA7A7" w14:textId="77777777" w:rsidR="006334E6" w:rsidRPr="005E7343" w:rsidRDefault="006334E6"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sectPr w:rsidR="006334E6" w:rsidRPr="005E734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6E38" w14:textId="77777777" w:rsidR="00AB30F3" w:rsidRDefault="00AB30F3" w:rsidP="00BA116F">
      <w:pPr>
        <w:spacing w:after="0" w:line="240" w:lineRule="auto"/>
      </w:pPr>
      <w:r>
        <w:separator/>
      </w:r>
    </w:p>
  </w:endnote>
  <w:endnote w:type="continuationSeparator" w:id="0">
    <w:p w14:paraId="2480B447" w14:textId="77777777" w:rsidR="00AB30F3" w:rsidRDefault="00AB30F3" w:rsidP="00B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797B" w14:textId="77777777" w:rsidR="000D5550" w:rsidRDefault="000D5550" w:rsidP="00BA116F">
    <w:pPr>
      <w:pStyle w:val="Footer"/>
      <w:jc w:val="center"/>
    </w:pPr>
    <w:r>
      <w:t>The Mission of College of Alameda is to serve the educational needs of its diverse community by providing comprehensive and flexible programs and resources that empower students to achieve their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A55DA" w14:textId="77777777" w:rsidR="00AB30F3" w:rsidRDefault="00AB30F3" w:rsidP="00BA116F">
      <w:pPr>
        <w:spacing w:after="0" w:line="240" w:lineRule="auto"/>
      </w:pPr>
      <w:r>
        <w:separator/>
      </w:r>
    </w:p>
  </w:footnote>
  <w:footnote w:type="continuationSeparator" w:id="0">
    <w:p w14:paraId="5EEFD870" w14:textId="77777777" w:rsidR="00AB30F3" w:rsidRDefault="00AB30F3" w:rsidP="00BA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41C"/>
    <w:multiLevelType w:val="hybridMultilevel"/>
    <w:tmpl w:val="033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1F0E"/>
    <w:multiLevelType w:val="hybridMultilevel"/>
    <w:tmpl w:val="15863C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0664"/>
    <w:multiLevelType w:val="multilevel"/>
    <w:tmpl w:val="B6C2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55AB9"/>
    <w:multiLevelType w:val="hybridMultilevel"/>
    <w:tmpl w:val="2AA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5711D"/>
    <w:multiLevelType w:val="hybridMultilevel"/>
    <w:tmpl w:val="ECD0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2A36AE"/>
    <w:multiLevelType w:val="multilevel"/>
    <w:tmpl w:val="022E068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232669267">
    <w:abstractNumId w:val="1"/>
  </w:num>
  <w:num w:numId="2" w16cid:durableId="1210647804">
    <w:abstractNumId w:val="4"/>
  </w:num>
  <w:num w:numId="3" w16cid:durableId="564220272">
    <w:abstractNumId w:val="3"/>
  </w:num>
  <w:num w:numId="4" w16cid:durableId="394741614">
    <w:abstractNumId w:val="0"/>
  </w:num>
  <w:num w:numId="5" w16cid:durableId="1698895575">
    <w:abstractNumId w:val="2"/>
  </w:num>
  <w:num w:numId="6" w16cid:durableId="111768227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7F"/>
    <w:rsid w:val="000203DD"/>
    <w:rsid w:val="00043FB2"/>
    <w:rsid w:val="00063AA5"/>
    <w:rsid w:val="00073686"/>
    <w:rsid w:val="00082AD1"/>
    <w:rsid w:val="00083A8F"/>
    <w:rsid w:val="000D5550"/>
    <w:rsid w:val="001A26B2"/>
    <w:rsid w:val="001D5FC1"/>
    <w:rsid w:val="00243FF9"/>
    <w:rsid w:val="002640BE"/>
    <w:rsid w:val="00275F7F"/>
    <w:rsid w:val="002762E1"/>
    <w:rsid w:val="002A46B3"/>
    <w:rsid w:val="002B06FE"/>
    <w:rsid w:val="00310FF6"/>
    <w:rsid w:val="00323CAF"/>
    <w:rsid w:val="00325AE1"/>
    <w:rsid w:val="003B2123"/>
    <w:rsid w:val="00404ED4"/>
    <w:rsid w:val="00415664"/>
    <w:rsid w:val="00452CE7"/>
    <w:rsid w:val="004618E3"/>
    <w:rsid w:val="004908D8"/>
    <w:rsid w:val="00490F2E"/>
    <w:rsid w:val="004A1E0F"/>
    <w:rsid w:val="004B6BDC"/>
    <w:rsid w:val="004D1203"/>
    <w:rsid w:val="004D19BC"/>
    <w:rsid w:val="004F38D8"/>
    <w:rsid w:val="00533F1B"/>
    <w:rsid w:val="00540ECE"/>
    <w:rsid w:val="005759EC"/>
    <w:rsid w:val="00584D53"/>
    <w:rsid w:val="0059702C"/>
    <w:rsid w:val="005A7A84"/>
    <w:rsid w:val="005D393D"/>
    <w:rsid w:val="005D5BDD"/>
    <w:rsid w:val="005E7343"/>
    <w:rsid w:val="00605E33"/>
    <w:rsid w:val="00624384"/>
    <w:rsid w:val="00624617"/>
    <w:rsid w:val="00624C2A"/>
    <w:rsid w:val="00632216"/>
    <w:rsid w:val="006334E6"/>
    <w:rsid w:val="00662E19"/>
    <w:rsid w:val="00681416"/>
    <w:rsid w:val="006A07AD"/>
    <w:rsid w:val="006B7A75"/>
    <w:rsid w:val="006F0FA0"/>
    <w:rsid w:val="006F1CDA"/>
    <w:rsid w:val="006F313B"/>
    <w:rsid w:val="00740826"/>
    <w:rsid w:val="00744DB4"/>
    <w:rsid w:val="007479D6"/>
    <w:rsid w:val="007650EB"/>
    <w:rsid w:val="00774A62"/>
    <w:rsid w:val="0078314C"/>
    <w:rsid w:val="0078567C"/>
    <w:rsid w:val="007A6837"/>
    <w:rsid w:val="007D7D2F"/>
    <w:rsid w:val="00814770"/>
    <w:rsid w:val="00821445"/>
    <w:rsid w:val="008505AE"/>
    <w:rsid w:val="008513AD"/>
    <w:rsid w:val="00881897"/>
    <w:rsid w:val="00884CF0"/>
    <w:rsid w:val="008A4A33"/>
    <w:rsid w:val="008C1B61"/>
    <w:rsid w:val="008D3D65"/>
    <w:rsid w:val="00904C87"/>
    <w:rsid w:val="0091566F"/>
    <w:rsid w:val="00944CDC"/>
    <w:rsid w:val="009538D2"/>
    <w:rsid w:val="00973C8F"/>
    <w:rsid w:val="00996BB0"/>
    <w:rsid w:val="009B7A79"/>
    <w:rsid w:val="00A673AC"/>
    <w:rsid w:val="00A907DC"/>
    <w:rsid w:val="00AA47C2"/>
    <w:rsid w:val="00AB30F3"/>
    <w:rsid w:val="00B2107B"/>
    <w:rsid w:val="00B21FA4"/>
    <w:rsid w:val="00B253E9"/>
    <w:rsid w:val="00B43121"/>
    <w:rsid w:val="00B8264C"/>
    <w:rsid w:val="00B85F0B"/>
    <w:rsid w:val="00B93127"/>
    <w:rsid w:val="00BA116F"/>
    <w:rsid w:val="00C232BA"/>
    <w:rsid w:val="00C3703F"/>
    <w:rsid w:val="00C7655A"/>
    <w:rsid w:val="00C8339B"/>
    <w:rsid w:val="00CA2879"/>
    <w:rsid w:val="00CB202A"/>
    <w:rsid w:val="00CE4B55"/>
    <w:rsid w:val="00DE64CC"/>
    <w:rsid w:val="00DF6CF7"/>
    <w:rsid w:val="00E02A91"/>
    <w:rsid w:val="00E0476C"/>
    <w:rsid w:val="00E10204"/>
    <w:rsid w:val="00E1091D"/>
    <w:rsid w:val="00E926D8"/>
    <w:rsid w:val="00EA14E8"/>
    <w:rsid w:val="00EC1E29"/>
    <w:rsid w:val="00EE2D77"/>
    <w:rsid w:val="00EE2E2E"/>
    <w:rsid w:val="00EE4786"/>
    <w:rsid w:val="00EF5E70"/>
    <w:rsid w:val="00F2363D"/>
    <w:rsid w:val="00F84A10"/>
    <w:rsid w:val="00FE71AA"/>
    <w:rsid w:val="02B63212"/>
    <w:rsid w:val="04E4BB53"/>
    <w:rsid w:val="0555F8EE"/>
    <w:rsid w:val="0A3220AF"/>
    <w:rsid w:val="0DA5055A"/>
    <w:rsid w:val="140EA430"/>
    <w:rsid w:val="154A921B"/>
    <w:rsid w:val="19BA8BAF"/>
    <w:rsid w:val="2037887B"/>
    <w:rsid w:val="221B9906"/>
    <w:rsid w:val="225B43E4"/>
    <w:rsid w:val="259248BA"/>
    <w:rsid w:val="26D58DE9"/>
    <w:rsid w:val="28715E4A"/>
    <w:rsid w:val="2A6655C9"/>
    <w:rsid w:val="2E3F29DB"/>
    <w:rsid w:val="337E3530"/>
    <w:rsid w:val="34CBE601"/>
    <w:rsid w:val="3683A306"/>
    <w:rsid w:val="390B48D4"/>
    <w:rsid w:val="3A04BF43"/>
    <w:rsid w:val="3B984C72"/>
    <w:rsid w:val="3EFEB11E"/>
    <w:rsid w:val="4183A951"/>
    <w:rsid w:val="41C655AD"/>
    <w:rsid w:val="41EE6599"/>
    <w:rsid w:val="434D68A8"/>
    <w:rsid w:val="464EF097"/>
    <w:rsid w:val="4961C2BA"/>
    <w:rsid w:val="4974A9EC"/>
    <w:rsid w:val="49DFB07F"/>
    <w:rsid w:val="55EEB4CF"/>
    <w:rsid w:val="587BB86D"/>
    <w:rsid w:val="5B95165F"/>
    <w:rsid w:val="5C453398"/>
    <w:rsid w:val="609D0905"/>
    <w:rsid w:val="6C7E6CC6"/>
    <w:rsid w:val="6D437383"/>
    <w:rsid w:val="6DC53787"/>
    <w:rsid w:val="70865575"/>
    <w:rsid w:val="72D220CA"/>
    <w:rsid w:val="73135913"/>
    <w:rsid w:val="7FF09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2D630"/>
  <w15:docId w15:val="{955669D5-6E30-497D-A807-5DD64C3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84A10"/>
    <w:pPr>
      <w:keepNext/>
      <w:spacing w:after="0" w:line="360" w:lineRule="auto"/>
      <w:outlineLvl w:val="1"/>
    </w:pPr>
    <w:rPr>
      <w:rFonts w:asciiTheme="majorHAnsi" w:eastAsia="Times New Roman" w:hAnsiTheme="majorHAnsi"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04"/>
    <w:pPr>
      <w:ind w:left="720"/>
      <w:contextualSpacing/>
    </w:pPr>
  </w:style>
  <w:style w:type="paragraph" w:styleId="Header">
    <w:name w:val="header"/>
    <w:basedOn w:val="Normal"/>
    <w:link w:val="HeaderChar"/>
    <w:uiPriority w:val="99"/>
    <w:unhideWhenUsed/>
    <w:rsid w:val="00BA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6F"/>
  </w:style>
  <w:style w:type="paragraph" w:styleId="Footer">
    <w:name w:val="footer"/>
    <w:basedOn w:val="Normal"/>
    <w:link w:val="FooterChar"/>
    <w:uiPriority w:val="99"/>
    <w:unhideWhenUsed/>
    <w:rsid w:val="00BA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6F"/>
  </w:style>
  <w:style w:type="character" w:customStyle="1" w:styleId="Heading2Char">
    <w:name w:val="Heading 2 Char"/>
    <w:basedOn w:val="DefaultParagraphFont"/>
    <w:link w:val="Heading2"/>
    <w:rsid w:val="00F84A10"/>
    <w:rPr>
      <w:rFonts w:asciiTheme="majorHAnsi" w:eastAsia="Times New Roman" w:hAnsiTheme="majorHAnsi" w:cs="Times New Roman"/>
      <w:b/>
      <w:sz w:val="22"/>
      <w:szCs w:val="20"/>
    </w:rPr>
  </w:style>
  <w:style w:type="character" w:styleId="Hyperlink">
    <w:name w:val="Hyperlink"/>
    <w:rsid w:val="00F84A10"/>
    <w:rPr>
      <w:color w:val="0000FF"/>
      <w:u w:val="single"/>
    </w:rPr>
  </w:style>
  <w:style w:type="paragraph" w:customStyle="1" w:styleId="ColorfulList-Accent11">
    <w:name w:val="Colorful List - Accent 11"/>
    <w:basedOn w:val="Normal"/>
    <w:uiPriority w:val="34"/>
    <w:qFormat/>
    <w:rsid w:val="00F84A10"/>
    <w:pPr>
      <w:spacing w:after="0" w:line="240" w:lineRule="auto"/>
      <w:ind w:left="720"/>
    </w:pPr>
    <w:rPr>
      <w:rFonts w:ascii="Calibri" w:eastAsia="Calibri" w:hAnsi="Calibri" w:cs="Times New Roman"/>
      <w:sz w:val="22"/>
    </w:rPr>
  </w:style>
  <w:style w:type="paragraph" w:styleId="NormalWeb">
    <w:name w:val="Normal (Web)"/>
    <w:basedOn w:val="Normal"/>
    <w:uiPriority w:val="99"/>
    <w:unhideWhenUsed/>
    <w:rsid w:val="00F84A10"/>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6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99285">
      <w:bodyDiv w:val="1"/>
      <w:marLeft w:val="0"/>
      <w:marRight w:val="0"/>
      <w:marTop w:val="0"/>
      <w:marBottom w:val="0"/>
      <w:divBdr>
        <w:top w:val="none" w:sz="0" w:space="0" w:color="auto"/>
        <w:left w:val="none" w:sz="0" w:space="0" w:color="auto"/>
        <w:bottom w:val="none" w:sz="0" w:space="0" w:color="auto"/>
        <w:right w:val="none" w:sz="0" w:space="0" w:color="auto"/>
      </w:divBdr>
    </w:div>
    <w:div w:id="1338927288">
      <w:bodyDiv w:val="1"/>
      <w:marLeft w:val="0"/>
      <w:marRight w:val="0"/>
      <w:marTop w:val="0"/>
      <w:marBottom w:val="0"/>
      <w:divBdr>
        <w:top w:val="none" w:sz="0" w:space="0" w:color="auto"/>
        <w:left w:val="none" w:sz="0" w:space="0" w:color="auto"/>
        <w:bottom w:val="none" w:sz="0" w:space="0" w:color="auto"/>
        <w:right w:val="none" w:sz="0" w:space="0" w:color="auto"/>
      </w:divBdr>
    </w:div>
    <w:div w:id="1573617222">
      <w:bodyDiv w:val="1"/>
      <w:marLeft w:val="0"/>
      <w:marRight w:val="0"/>
      <w:marTop w:val="0"/>
      <w:marBottom w:val="0"/>
      <w:divBdr>
        <w:top w:val="none" w:sz="0" w:space="0" w:color="auto"/>
        <w:left w:val="none" w:sz="0" w:space="0" w:color="auto"/>
        <w:bottom w:val="none" w:sz="0" w:space="0" w:color="auto"/>
        <w:right w:val="none" w:sz="0" w:space="0" w:color="auto"/>
      </w:divBdr>
    </w:div>
    <w:div w:id="20070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79pachecosanto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cconfer.zoom.us/j/996399929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5d0c0ba5b4a7559099cee1fb10771257">
  <xsd:schema xmlns:xsd="http://www.w3.org/2001/XMLSchema" xmlns:xs="http://www.w3.org/2001/XMLSchema" xmlns:p="http://schemas.microsoft.com/office/2006/metadata/properties" xmlns:ns2="ab778771-caec-40f5-802b-45f79338c51e" xmlns:ns3="79efdd01-789a-415f-90f3-28a35c748c8a" targetNamespace="http://schemas.microsoft.com/office/2006/metadata/properties" ma:root="true" ma:fieldsID="e674807d773e6e534423f9671473d91b" ns2:_="" ns3:_="">
    <xsd:import namespace="ab778771-caec-40f5-802b-45f79338c51e"/>
    <xsd:import namespace="79efdd01-789a-415f-90f3-28a35c748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fdd01-789a-415f-90f3-28a35c748c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3BDE8-BCEA-4FB1-A0FA-3A56F817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771-caec-40f5-802b-45f79338c51e"/>
    <ds:schemaRef ds:uri="79efdd01-789a-415f-90f3-28a35c748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3EFE2-2EEE-462D-B0C6-46F1DBBD2656}">
  <ds:schemaRefs>
    <ds:schemaRef ds:uri="http://schemas.openxmlformats.org/officeDocument/2006/bibliography"/>
  </ds:schemaRefs>
</ds:datastoreItem>
</file>

<file path=customXml/itemProps3.xml><?xml version="1.0" encoding="utf-8"?>
<ds:datastoreItem xmlns:ds="http://schemas.openxmlformats.org/officeDocument/2006/customXml" ds:itemID="{60A5D473-D5D4-4161-BA33-4E15C25B92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C1891C-585E-4DB2-8F26-B8A54669B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Diana Bajrami</dc:creator>
  <cp:lastModifiedBy>Ava Lee-Pang</cp:lastModifiedBy>
  <cp:revision>6</cp:revision>
  <cp:lastPrinted>2018-10-04T17:12:00Z</cp:lastPrinted>
  <dcterms:created xsi:type="dcterms:W3CDTF">2022-11-09T17:48:00Z</dcterms:created>
  <dcterms:modified xsi:type="dcterms:W3CDTF">2022-11-09T18:41:00Z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0x010100E2D42344EF02154A93B25ACEBF22072D</vt:lpwstr>
  </property>
</Properties>
</file>