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24284670"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2020-21</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9B58C9">
        <w:rPr>
          <w:rFonts w:ascii="Times New Roman" w:hAnsi="Times New Roman" w:cs="Times New Roman"/>
          <w:sz w:val="28"/>
          <w:szCs w:val="28"/>
        </w:rPr>
        <w:t xml:space="preserve"> – </w:t>
      </w:r>
      <w:r w:rsidR="007D26DD">
        <w:rPr>
          <w:rFonts w:ascii="Times New Roman" w:hAnsi="Times New Roman" w:cs="Times New Roman"/>
          <w:sz w:val="28"/>
          <w:szCs w:val="28"/>
        </w:rPr>
        <w:t>Health Services</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5589175D" w14:textId="77777777" w:rsidR="00425484" w:rsidRPr="005A4E46" w:rsidRDefault="00425484" w:rsidP="00425484">
      <w:pPr>
        <w:rPr>
          <w:rFonts w:ascii="Segoe UI" w:hAnsi="Segoe UI" w:cs="Segoe UI"/>
          <w:b/>
          <w:u w:val="single"/>
        </w:rPr>
      </w:pPr>
      <w:r w:rsidRPr="005A4E46">
        <w:rPr>
          <w:rFonts w:ascii="Segoe UI" w:hAnsi="Segoe UI" w:cs="Segoe UI"/>
          <w:b/>
          <w:u w:val="single"/>
        </w:rPr>
        <w:t>Program Overview</w:t>
      </w:r>
    </w:p>
    <w:p w14:paraId="07521C29" w14:textId="1C98B09F" w:rsidR="00D801A5" w:rsidRPr="005A4E46" w:rsidRDefault="00425484" w:rsidP="00311E8A">
      <w:pPr>
        <w:rPr>
          <w:rFonts w:ascii="Segoe UI" w:hAnsi="Segoe UI" w:cs="Segoe UI"/>
        </w:rPr>
      </w:pPr>
      <w:r w:rsidRPr="005A4E46">
        <w:rPr>
          <w:rFonts w:ascii="Segoe UI" w:hAnsi="Segoe UI" w:cs="Segoe UI"/>
        </w:rPr>
        <w:t>Please</w:t>
      </w:r>
      <w:r w:rsidR="0082677E">
        <w:rPr>
          <w:rFonts w:ascii="Segoe UI" w:hAnsi="Segoe UI" w:cs="Segoe UI"/>
        </w:rPr>
        <w:t xml:space="preserve"> provide your program’s mission statement.</w:t>
      </w:r>
    </w:p>
    <w:tbl>
      <w:tblPr>
        <w:tblStyle w:val="TableGrid"/>
        <w:tblW w:w="0" w:type="auto"/>
        <w:tblLook w:val="04A0" w:firstRow="1" w:lastRow="0" w:firstColumn="1" w:lastColumn="0" w:noHBand="0" w:noVBand="1"/>
      </w:tblPr>
      <w:tblGrid>
        <w:gridCol w:w="9160"/>
      </w:tblGrid>
      <w:tr w:rsidR="00311E8A" w:rsidRPr="005A4E46" w14:paraId="00A8B0DC" w14:textId="77777777" w:rsidTr="00A75707">
        <w:trPr>
          <w:trHeight w:val="2051"/>
        </w:trPr>
        <w:tc>
          <w:tcPr>
            <w:tcW w:w="9160" w:type="dxa"/>
          </w:tcPr>
          <w:p w14:paraId="740F0E68" w14:textId="04EAFF30" w:rsidR="00B37A60" w:rsidRPr="001B0B36" w:rsidRDefault="001B0B36" w:rsidP="001B0B36">
            <w:pPr>
              <w:rPr>
                <w:rFonts w:ascii="Times New Roman" w:hAnsi="Times New Roman" w:cs="Times New Roman"/>
                <w:sz w:val="24"/>
                <w:szCs w:val="24"/>
              </w:rPr>
            </w:pPr>
            <w:r w:rsidRPr="001B0B36">
              <w:rPr>
                <w:rFonts w:ascii="Times New Roman" w:hAnsi="Times New Roman" w:cs="Times New Roman"/>
                <w:sz w:val="24"/>
                <w:szCs w:val="24"/>
              </w:rPr>
              <w:t>College of Alameda is committed to furthering the equality of the educational opportunity and success for all students by providing access to health services which promote the physical, emotional, social, and spiritual well</w:t>
            </w:r>
            <w:r w:rsidR="005C2270">
              <w:rPr>
                <w:rFonts w:ascii="Times New Roman" w:hAnsi="Times New Roman" w:cs="Times New Roman"/>
                <w:sz w:val="24"/>
                <w:szCs w:val="24"/>
              </w:rPr>
              <w:t>-</w:t>
            </w:r>
            <w:r w:rsidRPr="001B0B36">
              <w:rPr>
                <w:rFonts w:ascii="Times New Roman" w:hAnsi="Times New Roman" w:cs="Times New Roman"/>
                <w:sz w:val="24"/>
                <w:szCs w:val="24"/>
              </w:rPr>
              <w:t xml:space="preserve">being of its students. This well-being contributes to the educational aim of our community colleges by promoting student retention and academic success. </w:t>
            </w:r>
          </w:p>
        </w:tc>
      </w:tr>
    </w:tbl>
    <w:p w14:paraId="62958BD0" w14:textId="77777777" w:rsidR="00B54F62" w:rsidRPr="005A4E46" w:rsidRDefault="00B54F62" w:rsidP="00311E8A">
      <w:pPr>
        <w:rPr>
          <w:rFonts w:ascii="Segoe UI" w:hAnsi="Segoe UI" w:cs="Segoe UI"/>
        </w:rPr>
      </w:pPr>
    </w:p>
    <w:p w14:paraId="1E2184A1" w14:textId="6B4AFBB7" w:rsidR="00311E8A" w:rsidRPr="005A4E46" w:rsidRDefault="00D801A5" w:rsidP="00311E8A">
      <w:pPr>
        <w:rPr>
          <w:rFonts w:ascii="Segoe UI" w:hAnsi="Segoe UI" w:cs="Segoe UI"/>
        </w:rPr>
      </w:pPr>
      <w:r w:rsidRPr="005A4E46">
        <w:rPr>
          <w:rFonts w:ascii="Segoe UI" w:hAnsi="Segoe UI" w:cs="Segoe UI"/>
        </w:rPr>
        <w:t xml:space="preserve">List </w:t>
      </w:r>
      <w:r w:rsidR="00311E8A" w:rsidRPr="005A4E46">
        <w:rPr>
          <w:rFonts w:ascii="Segoe UI" w:hAnsi="Segoe UI" w:cs="Segoe UI"/>
        </w:rPr>
        <w:t xml:space="preserve">your </w:t>
      </w:r>
      <w:r w:rsidR="0082677E">
        <w:rPr>
          <w:rFonts w:ascii="Segoe UI" w:hAnsi="Segoe UI" w:cs="Segoe UI"/>
        </w:rPr>
        <w:t>program s</w:t>
      </w:r>
      <w:r w:rsidR="00311E8A" w:rsidRPr="005A4E46">
        <w:rPr>
          <w:rFonts w:ascii="Segoe UI" w:hAnsi="Segoe UI" w:cs="Segoe UI"/>
        </w:rPr>
        <w:t>taff</w:t>
      </w:r>
      <w:r w:rsidR="00E34E09" w:rsidRPr="00E34E09">
        <w:t xml:space="preserve"> </w:t>
      </w:r>
      <w:r w:rsidR="00E34E09" w:rsidRPr="00E34E09">
        <w:rPr>
          <w:rFonts w:ascii="Segoe UI" w:hAnsi="Segoe UI" w:cs="Segoe UI"/>
        </w:rPr>
        <w:t>including full-time and part-time faculty, classified staff, and other categories of employment.</w:t>
      </w:r>
    </w:p>
    <w:tbl>
      <w:tblPr>
        <w:tblStyle w:val="TableGrid"/>
        <w:tblW w:w="9063" w:type="dxa"/>
        <w:tblLook w:val="04A0" w:firstRow="1" w:lastRow="0" w:firstColumn="1" w:lastColumn="0" w:noHBand="0" w:noVBand="1"/>
      </w:tblPr>
      <w:tblGrid>
        <w:gridCol w:w="9063"/>
      </w:tblGrid>
      <w:tr w:rsidR="00311E8A" w:rsidRPr="005A4E46" w14:paraId="554996A1" w14:textId="77777777" w:rsidTr="00A75707">
        <w:trPr>
          <w:trHeight w:val="840"/>
        </w:trPr>
        <w:tc>
          <w:tcPr>
            <w:tcW w:w="9063" w:type="dxa"/>
          </w:tcPr>
          <w:p w14:paraId="53B0E0EA" w14:textId="544A3EE1" w:rsidR="00311E8A" w:rsidRPr="00E34E09" w:rsidRDefault="00311E8A" w:rsidP="00311E8A">
            <w:pPr>
              <w:rPr>
                <w:rFonts w:ascii="Times New Roman" w:hAnsi="Times New Roman" w:cs="Times New Roman"/>
                <w:sz w:val="24"/>
                <w:szCs w:val="24"/>
              </w:rPr>
            </w:pPr>
          </w:p>
          <w:p w14:paraId="042F5165" w14:textId="33FF6BD2" w:rsidR="00E34E09" w:rsidRDefault="00264972" w:rsidP="00311E8A">
            <w:pPr>
              <w:rPr>
                <w:rFonts w:ascii="Times New Roman" w:hAnsi="Times New Roman" w:cs="Times New Roman"/>
                <w:sz w:val="24"/>
                <w:szCs w:val="24"/>
              </w:rPr>
            </w:pPr>
            <w:r>
              <w:rPr>
                <w:rFonts w:ascii="Times New Roman" w:hAnsi="Times New Roman" w:cs="Times New Roman"/>
                <w:sz w:val="24"/>
                <w:szCs w:val="24"/>
              </w:rPr>
              <w:t>Lisa Sawadogo, Health Services Coordinator – full-time faculty</w:t>
            </w:r>
          </w:p>
          <w:p w14:paraId="5DCE9F44" w14:textId="7A1B2D7D" w:rsidR="00264972" w:rsidRDefault="00264972" w:rsidP="00311E8A">
            <w:pPr>
              <w:rPr>
                <w:rFonts w:ascii="Times New Roman" w:hAnsi="Times New Roman" w:cs="Times New Roman"/>
                <w:sz w:val="24"/>
                <w:szCs w:val="24"/>
              </w:rPr>
            </w:pPr>
            <w:r>
              <w:rPr>
                <w:rFonts w:ascii="Times New Roman" w:hAnsi="Times New Roman" w:cs="Times New Roman"/>
                <w:sz w:val="24"/>
                <w:szCs w:val="24"/>
              </w:rPr>
              <w:t>Amy Tamayo, MFT Trainee – part-time volunteer</w:t>
            </w:r>
          </w:p>
          <w:p w14:paraId="1410C760" w14:textId="68D83326" w:rsidR="00264972" w:rsidRDefault="00264972" w:rsidP="00311E8A">
            <w:pPr>
              <w:rPr>
                <w:rFonts w:ascii="Times New Roman" w:hAnsi="Times New Roman" w:cs="Times New Roman"/>
                <w:sz w:val="24"/>
                <w:szCs w:val="24"/>
              </w:rPr>
            </w:pPr>
            <w:r>
              <w:rPr>
                <w:rFonts w:ascii="Times New Roman" w:hAnsi="Times New Roman" w:cs="Times New Roman"/>
                <w:sz w:val="24"/>
                <w:szCs w:val="24"/>
              </w:rPr>
              <w:t>Kyle Lee, MFT Trainee – part-time volunteer</w:t>
            </w:r>
          </w:p>
          <w:p w14:paraId="492F2D2B" w14:textId="313EED1F" w:rsidR="00264972" w:rsidRDefault="00264972" w:rsidP="00311E8A">
            <w:pPr>
              <w:rPr>
                <w:rFonts w:ascii="Times New Roman" w:hAnsi="Times New Roman" w:cs="Times New Roman"/>
                <w:sz w:val="24"/>
                <w:szCs w:val="24"/>
              </w:rPr>
            </w:pPr>
            <w:r>
              <w:rPr>
                <w:rFonts w:ascii="Times New Roman" w:hAnsi="Times New Roman" w:cs="Times New Roman"/>
                <w:sz w:val="24"/>
                <w:szCs w:val="24"/>
              </w:rPr>
              <w:t>Tiffany Tung, MFT Trainee – part-time volunteer</w:t>
            </w:r>
          </w:p>
          <w:p w14:paraId="561B9793" w14:textId="725F3BF3" w:rsidR="00264972" w:rsidRDefault="00264972" w:rsidP="00311E8A">
            <w:pPr>
              <w:rPr>
                <w:rFonts w:ascii="Times New Roman" w:hAnsi="Times New Roman" w:cs="Times New Roman"/>
                <w:sz w:val="24"/>
                <w:szCs w:val="24"/>
              </w:rPr>
            </w:pPr>
            <w:r>
              <w:rPr>
                <w:rFonts w:ascii="Times New Roman" w:hAnsi="Times New Roman" w:cs="Times New Roman"/>
                <w:sz w:val="24"/>
                <w:szCs w:val="24"/>
              </w:rPr>
              <w:t>Erica Hill, MFT Trainee – part-time volunteer</w:t>
            </w:r>
          </w:p>
          <w:p w14:paraId="56DE4994" w14:textId="4A8BD968" w:rsidR="00264972" w:rsidRDefault="00264972" w:rsidP="00311E8A">
            <w:pPr>
              <w:rPr>
                <w:rFonts w:ascii="Times New Roman" w:hAnsi="Times New Roman" w:cs="Times New Roman"/>
                <w:sz w:val="24"/>
                <w:szCs w:val="24"/>
              </w:rPr>
            </w:pPr>
          </w:p>
          <w:p w14:paraId="722035A2" w14:textId="242C1C98" w:rsidR="00264972" w:rsidRDefault="00264972" w:rsidP="00311E8A">
            <w:pPr>
              <w:rPr>
                <w:rFonts w:ascii="Times New Roman" w:hAnsi="Times New Roman" w:cs="Times New Roman"/>
                <w:sz w:val="24"/>
                <w:szCs w:val="24"/>
              </w:rPr>
            </w:pPr>
            <w:r>
              <w:rPr>
                <w:rFonts w:ascii="Times New Roman" w:hAnsi="Times New Roman" w:cs="Times New Roman"/>
                <w:sz w:val="24"/>
                <w:szCs w:val="24"/>
              </w:rPr>
              <w:t>Community partner: Roots Clinic</w:t>
            </w:r>
          </w:p>
          <w:p w14:paraId="15F89F73" w14:textId="77777777" w:rsidR="00264972" w:rsidRDefault="00264972" w:rsidP="00311E8A">
            <w:pPr>
              <w:rPr>
                <w:rFonts w:ascii="Times New Roman" w:hAnsi="Times New Roman" w:cs="Times New Roman"/>
                <w:sz w:val="24"/>
                <w:szCs w:val="24"/>
              </w:rPr>
            </w:pPr>
            <w:r>
              <w:rPr>
                <w:rFonts w:ascii="Times New Roman" w:hAnsi="Times New Roman" w:cs="Times New Roman"/>
                <w:sz w:val="24"/>
                <w:szCs w:val="24"/>
              </w:rPr>
              <w:t xml:space="preserve">Nurse Practitioner  </w:t>
            </w:r>
          </w:p>
          <w:p w14:paraId="592A09B1" w14:textId="77777777" w:rsidR="00264972" w:rsidRDefault="00264972" w:rsidP="00311E8A">
            <w:pPr>
              <w:rPr>
                <w:rFonts w:ascii="Times New Roman" w:hAnsi="Times New Roman" w:cs="Times New Roman"/>
                <w:sz w:val="24"/>
                <w:szCs w:val="24"/>
              </w:rPr>
            </w:pPr>
            <w:r>
              <w:rPr>
                <w:rFonts w:ascii="Times New Roman" w:hAnsi="Times New Roman" w:cs="Times New Roman"/>
                <w:sz w:val="24"/>
                <w:szCs w:val="24"/>
              </w:rPr>
              <w:t xml:space="preserve">Patient Health Navigator </w:t>
            </w:r>
          </w:p>
          <w:p w14:paraId="63041187" w14:textId="77777777" w:rsidR="00264972" w:rsidRDefault="00264972" w:rsidP="00311E8A">
            <w:pPr>
              <w:rPr>
                <w:rFonts w:ascii="Times New Roman" w:hAnsi="Times New Roman" w:cs="Times New Roman"/>
                <w:sz w:val="24"/>
                <w:szCs w:val="24"/>
              </w:rPr>
            </w:pPr>
          </w:p>
          <w:p w14:paraId="6182444E" w14:textId="5A066839" w:rsidR="007C3A4B" w:rsidRDefault="00264972" w:rsidP="007C3A4B">
            <w:pPr>
              <w:rPr>
                <w:rFonts w:ascii="Times New Roman" w:hAnsi="Times New Roman" w:cs="Times New Roman"/>
                <w:sz w:val="24"/>
                <w:szCs w:val="24"/>
              </w:rPr>
            </w:pPr>
            <w:r>
              <w:rPr>
                <w:rFonts w:ascii="Times New Roman" w:hAnsi="Times New Roman" w:cs="Times New Roman"/>
                <w:sz w:val="24"/>
                <w:szCs w:val="24"/>
              </w:rPr>
              <w:t>Due to COVID-19, the Roots Clinic is currently providing medical services for all currently enrolled Peralta students from all four community colleges Monday – Friday</w:t>
            </w:r>
            <w:r w:rsidR="007C3A4B">
              <w:rPr>
                <w:rFonts w:ascii="Times New Roman" w:hAnsi="Times New Roman" w:cs="Times New Roman"/>
                <w:sz w:val="24"/>
                <w:szCs w:val="24"/>
              </w:rPr>
              <w:t xml:space="preserve"> from 9a.m. – 5p.m</w:t>
            </w:r>
            <w:r>
              <w:rPr>
                <w:rFonts w:ascii="Times New Roman" w:hAnsi="Times New Roman" w:cs="Times New Roman"/>
                <w:sz w:val="24"/>
                <w:szCs w:val="24"/>
              </w:rPr>
              <w:t xml:space="preserve">.  </w:t>
            </w:r>
            <w:r w:rsidR="007C3A4B">
              <w:rPr>
                <w:rFonts w:ascii="Times New Roman" w:hAnsi="Times New Roman" w:cs="Times New Roman"/>
                <w:sz w:val="24"/>
                <w:szCs w:val="24"/>
              </w:rPr>
              <w:t>College of Alameda mental health services are being provided remotely Monday-Thursday 9a.m. – 5p.m. and Friday 9a.m. – 2p.m.</w:t>
            </w:r>
          </w:p>
          <w:p w14:paraId="0F459267" w14:textId="77777777" w:rsidR="007C3A4B" w:rsidRDefault="007C3A4B" w:rsidP="007C3A4B">
            <w:pPr>
              <w:rPr>
                <w:rFonts w:ascii="Times New Roman" w:hAnsi="Times New Roman" w:cs="Times New Roman"/>
                <w:sz w:val="24"/>
                <w:szCs w:val="24"/>
              </w:rPr>
            </w:pPr>
          </w:p>
          <w:p w14:paraId="6EB4429C" w14:textId="63F66734" w:rsidR="00264972" w:rsidRDefault="007C3A4B" w:rsidP="00311E8A">
            <w:pPr>
              <w:rPr>
                <w:rFonts w:ascii="Times New Roman" w:hAnsi="Times New Roman" w:cs="Times New Roman"/>
                <w:sz w:val="24"/>
                <w:szCs w:val="24"/>
              </w:rPr>
            </w:pPr>
            <w:r>
              <w:rPr>
                <w:rFonts w:ascii="Times New Roman" w:hAnsi="Times New Roman" w:cs="Times New Roman"/>
                <w:sz w:val="24"/>
                <w:szCs w:val="24"/>
              </w:rPr>
              <w:t>*</w:t>
            </w:r>
            <w:r w:rsidR="00264972">
              <w:rPr>
                <w:rFonts w:ascii="Times New Roman" w:hAnsi="Times New Roman" w:cs="Times New Roman"/>
                <w:sz w:val="24"/>
                <w:szCs w:val="24"/>
              </w:rPr>
              <w:t>In previous years, medical services were offered on a part-time basis</w:t>
            </w:r>
            <w:r>
              <w:rPr>
                <w:rFonts w:ascii="Times New Roman" w:hAnsi="Times New Roman" w:cs="Times New Roman"/>
                <w:sz w:val="24"/>
                <w:szCs w:val="24"/>
              </w:rPr>
              <w:t xml:space="preserve"> </w:t>
            </w:r>
            <w:r w:rsidRPr="007C3A4B">
              <w:rPr>
                <w:rFonts w:ascii="Times New Roman" w:hAnsi="Times New Roman" w:cs="Times New Roman"/>
                <w:sz w:val="24"/>
                <w:szCs w:val="24"/>
              </w:rPr>
              <w:t>(Nurs</w:t>
            </w:r>
            <w:r>
              <w:rPr>
                <w:rFonts w:ascii="Times New Roman" w:hAnsi="Times New Roman" w:cs="Times New Roman"/>
                <w:sz w:val="24"/>
                <w:szCs w:val="24"/>
              </w:rPr>
              <w:t>ing services</w:t>
            </w:r>
            <w:r w:rsidRPr="007C3A4B">
              <w:rPr>
                <w:rFonts w:ascii="Times New Roman" w:hAnsi="Times New Roman" w:cs="Times New Roman"/>
                <w:sz w:val="24"/>
                <w:szCs w:val="24"/>
              </w:rPr>
              <w:t>: Monday 1-5, Tuesday &amp; Thursday 8:30-12</w:t>
            </w:r>
            <w:r>
              <w:rPr>
                <w:rFonts w:ascii="Times New Roman" w:hAnsi="Times New Roman" w:cs="Times New Roman"/>
                <w:sz w:val="24"/>
                <w:szCs w:val="24"/>
              </w:rPr>
              <w:t xml:space="preserve"> and massages/acupuncture Wednesdays 9a.m. – 1p.m.) </w:t>
            </w:r>
            <w:r w:rsidR="005C2270">
              <w:rPr>
                <w:rFonts w:ascii="Times New Roman" w:hAnsi="Times New Roman" w:cs="Times New Roman"/>
                <w:sz w:val="24"/>
                <w:szCs w:val="24"/>
              </w:rPr>
              <w:t>Due to all services being remote, there are no acupuncture or massage services being offered at this time.</w:t>
            </w:r>
          </w:p>
          <w:p w14:paraId="4EE7693F" w14:textId="77777777" w:rsidR="00264972" w:rsidRPr="00E34E09" w:rsidRDefault="00264972" w:rsidP="00311E8A">
            <w:pPr>
              <w:rPr>
                <w:rFonts w:ascii="Times New Roman" w:hAnsi="Times New Roman" w:cs="Times New Roman"/>
                <w:sz w:val="24"/>
                <w:szCs w:val="24"/>
              </w:rPr>
            </w:pPr>
          </w:p>
          <w:p w14:paraId="3D5D74FE" w14:textId="77777777" w:rsidR="00E34E09" w:rsidRPr="00E34E09" w:rsidRDefault="00E34E09" w:rsidP="00311E8A">
            <w:pPr>
              <w:rPr>
                <w:rFonts w:ascii="Times New Roman" w:hAnsi="Times New Roman" w:cs="Times New Roman"/>
                <w:sz w:val="24"/>
                <w:szCs w:val="24"/>
              </w:rPr>
            </w:pPr>
          </w:p>
          <w:p w14:paraId="41EBFBC1" w14:textId="77777777" w:rsidR="00E34E09" w:rsidRPr="00E34E09" w:rsidRDefault="00E34E09" w:rsidP="00311E8A">
            <w:pPr>
              <w:rPr>
                <w:rFonts w:ascii="Times New Roman" w:hAnsi="Times New Roman" w:cs="Times New Roman"/>
                <w:sz w:val="24"/>
                <w:szCs w:val="24"/>
              </w:rPr>
            </w:pPr>
          </w:p>
          <w:p w14:paraId="06E9E02B" w14:textId="1525EFEF" w:rsidR="00E34E09" w:rsidRPr="00CA17E0" w:rsidRDefault="00E34E09" w:rsidP="00311E8A">
            <w:pPr>
              <w:rPr>
                <w:rFonts w:ascii="Times New Roman" w:hAnsi="Times New Roman" w:cs="Times New Roman"/>
              </w:rPr>
            </w:pPr>
          </w:p>
        </w:tc>
      </w:tr>
    </w:tbl>
    <w:p w14:paraId="5309C4CB" w14:textId="5F6CA6EE" w:rsidR="00E34E09" w:rsidRDefault="00E34E09" w:rsidP="00311E8A">
      <w:pPr>
        <w:rPr>
          <w:rFonts w:ascii="Segoe UI" w:hAnsi="Segoe UI" w:cs="Segoe UI"/>
        </w:rPr>
      </w:pPr>
    </w:p>
    <w:p w14:paraId="739B729B" w14:textId="6FD0C70E" w:rsidR="007A46E8" w:rsidRDefault="00B11478" w:rsidP="00311E8A">
      <w:pPr>
        <w:rPr>
          <w:rFonts w:ascii="Segoe UI" w:hAnsi="Segoe UI" w:cs="Segoe UI"/>
        </w:rPr>
      </w:pPr>
      <w:r>
        <w:rPr>
          <w:rFonts w:ascii="Segoe UI" w:hAnsi="Segoe UI" w:cs="Segoe UI"/>
        </w:rPr>
        <w:t>List your p</w:t>
      </w:r>
      <w:r w:rsidR="00425484" w:rsidRPr="005A4E46">
        <w:rPr>
          <w:rFonts w:ascii="Segoe UI" w:hAnsi="Segoe UI" w:cs="Segoe UI"/>
        </w:rPr>
        <w:t xml:space="preserve">rogram </w:t>
      </w:r>
      <w:r>
        <w:rPr>
          <w:rFonts w:ascii="Segoe UI" w:hAnsi="Segoe UI" w:cs="Segoe UI"/>
        </w:rPr>
        <w:t>g</w:t>
      </w:r>
      <w:r w:rsidR="00425484" w:rsidRPr="005A4E46">
        <w:rPr>
          <w:rFonts w:ascii="Segoe UI" w:hAnsi="Segoe UI" w:cs="Segoe UI"/>
        </w:rPr>
        <w:t xml:space="preserve">oals from your most recent Program Review or APU. </w:t>
      </w:r>
      <w:r w:rsidR="007A46E8">
        <w:rPr>
          <w:rFonts w:ascii="Segoe UI" w:hAnsi="Segoe UI" w:cs="Segoe UI"/>
        </w:rPr>
        <w:t xml:space="preserve">Then, provide an update on the status of the goal. Has your program achieved </w:t>
      </w:r>
      <w:r w:rsidR="0082677E">
        <w:rPr>
          <w:rFonts w:ascii="Segoe UI" w:hAnsi="Segoe UI" w:cs="Segoe UI"/>
        </w:rPr>
        <w:t>the goal</w:t>
      </w:r>
      <w:r w:rsidR="007A46E8">
        <w:rPr>
          <w:rFonts w:ascii="Segoe UI" w:hAnsi="Segoe UI" w:cs="Segoe UI"/>
        </w:rPr>
        <w:t>?  Ha</w:t>
      </w:r>
      <w:r w:rsidR="0082677E">
        <w:rPr>
          <w:rFonts w:ascii="Segoe UI" w:hAnsi="Segoe UI" w:cs="Segoe UI"/>
        </w:rPr>
        <w:t>ve any of your goals</w:t>
      </w:r>
      <w:r w:rsidR="007A46E8">
        <w:rPr>
          <w:rFonts w:ascii="Segoe UI" w:hAnsi="Segoe UI" w:cs="Segoe UI"/>
        </w:rPr>
        <w:t xml:space="preserve"> been revised or </w:t>
      </w:r>
      <w:r w:rsidR="0082677E">
        <w:rPr>
          <w:rFonts w:ascii="Segoe UI" w:hAnsi="Segoe UI" w:cs="Segoe UI"/>
        </w:rPr>
        <w:t>any</w:t>
      </w:r>
      <w:r w:rsidR="007A46E8">
        <w:rPr>
          <w:rFonts w:ascii="Segoe UI" w:hAnsi="Segoe UI" w:cs="Segoe UI"/>
        </w:rPr>
        <w:t xml:space="preserve"> still in progress? </w:t>
      </w:r>
      <w:r w:rsidR="0082677E">
        <w:rPr>
          <w:rFonts w:ascii="Segoe UI" w:hAnsi="Segoe UI" w:cs="Segoe UI"/>
        </w:rPr>
        <w:t>Lastly, m</w:t>
      </w:r>
      <w:r w:rsidR="007A46E8">
        <w:rPr>
          <w:rFonts w:ascii="Segoe UI" w:hAnsi="Segoe UI" w:cs="Segoe UI"/>
        </w:rPr>
        <w:t>ake sure</w:t>
      </w:r>
      <w:r w:rsidR="0082677E">
        <w:rPr>
          <w:rFonts w:ascii="Segoe UI" w:hAnsi="Segoe UI" w:cs="Segoe UI"/>
        </w:rPr>
        <w:t xml:space="preserve"> to</w:t>
      </w:r>
      <w:r w:rsidR="007A46E8">
        <w:rPr>
          <w:rFonts w:ascii="Segoe UI" w:hAnsi="Segoe UI" w:cs="Segoe UI"/>
        </w:rPr>
        <w:t xml:space="preserve"> discuss which College or District goal your program goal aligns to</w:t>
      </w:r>
      <w:r w:rsidR="00D161B4">
        <w:rPr>
          <w:rFonts w:ascii="Segoe UI" w:hAnsi="Segoe UI" w:cs="Segoe UI"/>
        </w:rPr>
        <w:t xml:space="preserve">: </w:t>
      </w:r>
      <w:hyperlink r:id="rId9" w:history="1">
        <w:r w:rsidR="00D161B4" w:rsidRPr="00D161B4">
          <w:rPr>
            <w:rStyle w:val="Hyperlink"/>
            <w:rFonts w:ascii="Segoe UI" w:hAnsi="Segoe UI" w:cs="Segoe UI"/>
          </w:rPr>
          <w:t>Alignment of Goals</w:t>
        </w:r>
      </w:hyperlink>
    </w:p>
    <w:p w14:paraId="23A237A6" w14:textId="6A06EEC8" w:rsidR="007A46E8" w:rsidRDefault="007A46E8" w:rsidP="007A46E8">
      <w:pPr>
        <w:rPr>
          <w:rFonts w:ascii="Segoe UI" w:hAnsi="Segoe UI" w:cs="Segoe UI"/>
        </w:rPr>
      </w:pPr>
      <w:r>
        <w:rPr>
          <w:rFonts w:ascii="Segoe UI" w:hAnsi="Segoe UI" w:cs="Segoe UI"/>
        </w:rPr>
        <w:t>If no program goals exist or if this is your first program review, create 2-</w:t>
      </w:r>
      <w:r w:rsidR="00A75707">
        <w:rPr>
          <w:rFonts w:ascii="Segoe UI" w:hAnsi="Segoe UI" w:cs="Segoe UI"/>
        </w:rPr>
        <w:t>3</w:t>
      </w:r>
      <w:r>
        <w:rPr>
          <w:rFonts w:ascii="Segoe UI" w:hAnsi="Segoe UI" w:cs="Segoe UI"/>
        </w:rPr>
        <w:t xml:space="preserve"> goals and align </w:t>
      </w:r>
      <w:r w:rsidR="0082677E">
        <w:rPr>
          <w:rFonts w:ascii="Segoe UI" w:hAnsi="Segoe UI" w:cs="Segoe UI"/>
        </w:rPr>
        <w:t xml:space="preserve">them </w:t>
      </w:r>
      <w:r>
        <w:rPr>
          <w:rFonts w:ascii="Segoe UI" w:hAnsi="Segoe UI" w:cs="Segoe UI"/>
        </w:rPr>
        <w:t xml:space="preserve">with a College or District goal. </w:t>
      </w:r>
    </w:p>
    <w:p w14:paraId="27035E60" w14:textId="77777777" w:rsidR="00D161B4" w:rsidRDefault="00D161B4" w:rsidP="007A46E8">
      <w:pPr>
        <w:rPr>
          <w:rFonts w:ascii="Segoe UI" w:hAnsi="Segoe UI" w:cs="Segoe UI"/>
        </w:rPr>
      </w:pPr>
    </w:p>
    <w:tbl>
      <w:tblPr>
        <w:tblStyle w:val="TableGrid2"/>
        <w:tblW w:w="9170" w:type="dxa"/>
        <w:tblLook w:val="04A0" w:firstRow="1" w:lastRow="0" w:firstColumn="1" w:lastColumn="0" w:noHBand="0" w:noVBand="1"/>
      </w:tblPr>
      <w:tblGrid>
        <w:gridCol w:w="3415"/>
        <w:gridCol w:w="5755"/>
      </w:tblGrid>
      <w:tr w:rsidR="00155788" w:rsidRPr="008E6EE4" w14:paraId="443849B3" w14:textId="77777777" w:rsidTr="00A75707">
        <w:trPr>
          <w:trHeight w:val="527"/>
        </w:trPr>
        <w:tc>
          <w:tcPr>
            <w:tcW w:w="3415" w:type="dxa"/>
          </w:tcPr>
          <w:p w14:paraId="4F297B44" w14:textId="77777777" w:rsidR="00155788" w:rsidRPr="008E6EE4" w:rsidRDefault="00155788" w:rsidP="002C0B40">
            <w:pPr>
              <w:jc w:val="left"/>
              <w:rPr>
                <w:rFonts w:ascii="Segoe UI" w:hAnsi="Segoe UI" w:cs="Segoe UI"/>
                <w:b/>
                <w:bCs/>
              </w:rPr>
            </w:pPr>
            <w:r w:rsidRPr="008E6EE4">
              <w:rPr>
                <w:rFonts w:ascii="Segoe UI" w:hAnsi="Segoe UI" w:cs="Segoe UI"/>
                <w:b/>
                <w:bCs/>
              </w:rPr>
              <w:t>Program Goal</w:t>
            </w:r>
          </w:p>
        </w:tc>
        <w:tc>
          <w:tcPr>
            <w:tcW w:w="5755" w:type="dxa"/>
          </w:tcPr>
          <w:p w14:paraId="056ABF3E" w14:textId="77777777" w:rsidR="00155788" w:rsidRDefault="00155788" w:rsidP="002C0B40">
            <w:pPr>
              <w:rPr>
                <w:rFonts w:ascii="Segoe UI" w:hAnsi="Segoe UI" w:cs="Segoe UI"/>
              </w:rPr>
            </w:pPr>
          </w:p>
          <w:p w14:paraId="6B375156" w14:textId="50FF147B" w:rsidR="00155788" w:rsidRPr="00860EE3" w:rsidRDefault="005C2270" w:rsidP="002C0B40">
            <w:pPr>
              <w:rPr>
                <w:rFonts w:ascii="Times New Roman" w:hAnsi="Times New Roman" w:cs="Times New Roman"/>
                <w:sz w:val="24"/>
                <w:szCs w:val="24"/>
              </w:rPr>
            </w:pPr>
            <w:r>
              <w:rPr>
                <w:rFonts w:ascii="Times New Roman" w:hAnsi="Times New Roman" w:cs="Times New Roman"/>
                <w:sz w:val="24"/>
                <w:szCs w:val="24"/>
              </w:rPr>
              <w:t>Update or maintain service area outcomes annually and meet or exceed all service area outcome measures for health services.</w:t>
            </w:r>
          </w:p>
        </w:tc>
      </w:tr>
      <w:tr w:rsidR="00155788" w:rsidRPr="008E6EE4" w14:paraId="15881579" w14:textId="77777777" w:rsidTr="00A75707">
        <w:trPr>
          <w:trHeight w:val="397"/>
        </w:trPr>
        <w:tc>
          <w:tcPr>
            <w:tcW w:w="3415" w:type="dxa"/>
          </w:tcPr>
          <w:p w14:paraId="3E7042CD" w14:textId="77777777" w:rsidR="00155788" w:rsidRPr="008E6EE4" w:rsidRDefault="00155788" w:rsidP="002C0B40">
            <w:pPr>
              <w:jc w:val="left"/>
              <w:rPr>
                <w:rFonts w:ascii="Segoe UI" w:hAnsi="Segoe UI" w:cs="Segoe UI"/>
              </w:rPr>
            </w:pPr>
            <w:r w:rsidRPr="008E6EE4">
              <w:rPr>
                <w:rFonts w:ascii="Segoe UI" w:hAnsi="Segoe UI" w:cs="Segoe UI"/>
              </w:rPr>
              <w:t xml:space="preserve">Status: In-Progress or Complete?  </w:t>
            </w:r>
          </w:p>
        </w:tc>
        <w:tc>
          <w:tcPr>
            <w:tcW w:w="5755" w:type="dxa"/>
          </w:tcPr>
          <w:p w14:paraId="73BF8617" w14:textId="533CE1CD" w:rsidR="00D161B4" w:rsidRPr="00E34E09" w:rsidRDefault="005C2270" w:rsidP="002C0B40">
            <w:pPr>
              <w:rPr>
                <w:rFonts w:ascii="Times New Roman" w:hAnsi="Times New Roman" w:cs="Times New Roman"/>
                <w:sz w:val="24"/>
                <w:szCs w:val="24"/>
              </w:rPr>
            </w:pPr>
            <w:r>
              <w:rPr>
                <w:rFonts w:ascii="Times New Roman" w:hAnsi="Times New Roman" w:cs="Times New Roman"/>
                <w:sz w:val="24"/>
                <w:szCs w:val="24"/>
              </w:rPr>
              <w:t>In progress</w:t>
            </w:r>
          </w:p>
        </w:tc>
      </w:tr>
      <w:tr w:rsidR="00155788" w:rsidRPr="008E6EE4" w14:paraId="69403A08" w14:textId="77777777" w:rsidTr="00A75707">
        <w:trPr>
          <w:trHeight w:val="904"/>
        </w:trPr>
        <w:tc>
          <w:tcPr>
            <w:tcW w:w="3415" w:type="dxa"/>
          </w:tcPr>
          <w:p w14:paraId="20AC72D7" w14:textId="77777777" w:rsidR="00155788" w:rsidRPr="008E6EE4" w:rsidRDefault="00155788" w:rsidP="002C0B40">
            <w:pPr>
              <w:jc w:val="left"/>
              <w:rPr>
                <w:rFonts w:ascii="Segoe UI" w:hAnsi="Segoe UI" w:cs="Segoe UI"/>
              </w:rPr>
            </w:pPr>
            <w:r w:rsidRPr="008E6EE4">
              <w:rPr>
                <w:rFonts w:ascii="Segoe UI" w:hAnsi="Segoe UI" w:cs="Segoe UI"/>
              </w:rPr>
              <w:t>Which college or district goal is aligned with your program goal?</w:t>
            </w:r>
          </w:p>
          <w:p w14:paraId="12BE5835" w14:textId="77777777" w:rsidR="00155788" w:rsidRPr="008E6EE4" w:rsidRDefault="00155788" w:rsidP="002C0B40">
            <w:pPr>
              <w:rPr>
                <w:rFonts w:ascii="Segoe UI" w:hAnsi="Segoe UI" w:cs="Segoe UI"/>
              </w:rPr>
            </w:pPr>
          </w:p>
        </w:tc>
        <w:tc>
          <w:tcPr>
            <w:tcW w:w="5755" w:type="dxa"/>
          </w:tcPr>
          <w:p w14:paraId="7788992B" w14:textId="63F8EA16" w:rsidR="00D161B4" w:rsidRDefault="005C2270" w:rsidP="002C0B40">
            <w:pPr>
              <w:rPr>
                <w:rFonts w:ascii="Times New Roman" w:hAnsi="Times New Roman" w:cs="Times New Roman"/>
                <w:sz w:val="24"/>
                <w:szCs w:val="24"/>
              </w:rPr>
            </w:pPr>
            <w:r>
              <w:rPr>
                <w:rFonts w:ascii="Times New Roman" w:hAnsi="Times New Roman" w:cs="Times New Roman"/>
                <w:sz w:val="24"/>
                <w:szCs w:val="24"/>
              </w:rPr>
              <w:t>College: Strengthen data driven/informed decision making</w:t>
            </w:r>
          </w:p>
          <w:p w14:paraId="5F3947D3" w14:textId="4A7E058A" w:rsidR="005C2270" w:rsidRDefault="005C2270" w:rsidP="002C0B40">
            <w:pPr>
              <w:rPr>
                <w:rFonts w:ascii="Times New Roman" w:hAnsi="Times New Roman" w:cs="Times New Roman"/>
                <w:sz w:val="24"/>
                <w:szCs w:val="24"/>
              </w:rPr>
            </w:pPr>
            <w:r>
              <w:rPr>
                <w:rFonts w:ascii="Times New Roman" w:hAnsi="Times New Roman" w:cs="Times New Roman"/>
                <w:sz w:val="24"/>
                <w:szCs w:val="24"/>
              </w:rPr>
              <w:t xml:space="preserve">District: Develop and manage resources to advance our mission </w:t>
            </w:r>
          </w:p>
          <w:p w14:paraId="2B18825A" w14:textId="77777777" w:rsidR="00D161B4" w:rsidRDefault="00D161B4" w:rsidP="002C0B40">
            <w:pPr>
              <w:rPr>
                <w:rFonts w:ascii="Times New Roman" w:hAnsi="Times New Roman" w:cs="Times New Roman"/>
                <w:sz w:val="24"/>
                <w:szCs w:val="24"/>
              </w:rPr>
            </w:pPr>
          </w:p>
          <w:p w14:paraId="2B4AA247" w14:textId="4E68F1FE" w:rsidR="00D161B4" w:rsidRPr="00E34E09" w:rsidRDefault="00D161B4" w:rsidP="002C0B40">
            <w:pPr>
              <w:rPr>
                <w:rFonts w:ascii="Times New Roman" w:hAnsi="Times New Roman" w:cs="Times New Roman"/>
                <w:sz w:val="24"/>
                <w:szCs w:val="24"/>
              </w:rPr>
            </w:pPr>
          </w:p>
        </w:tc>
      </w:tr>
    </w:tbl>
    <w:p w14:paraId="67479098" w14:textId="77777777" w:rsidR="00CA17E0" w:rsidRDefault="00CA17E0" w:rsidP="007A46E8">
      <w:pPr>
        <w:rPr>
          <w:rFonts w:ascii="Segoe UI" w:hAnsi="Segoe UI" w:cs="Segoe UI"/>
        </w:rPr>
      </w:pPr>
    </w:p>
    <w:tbl>
      <w:tblPr>
        <w:tblStyle w:val="TableGrid2"/>
        <w:tblW w:w="9217" w:type="dxa"/>
        <w:tblLook w:val="04A0" w:firstRow="1" w:lastRow="0" w:firstColumn="1" w:lastColumn="0" w:noHBand="0" w:noVBand="1"/>
      </w:tblPr>
      <w:tblGrid>
        <w:gridCol w:w="3415"/>
        <w:gridCol w:w="5802"/>
      </w:tblGrid>
      <w:tr w:rsidR="00155788" w:rsidRPr="008E6EE4" w14:paraId="7074BA0D" w14:textId="77777777" w:rsidTr="00A75707">
        <w:trPr>
          <w:trHeight w:val="534"/>
        </w:trPr>
        <w:tc>
          <w:tcPr>
            <w:tcW w:w="3415" w:type="dxa"/>
          </w:tcPr>
          <w:p w14:paraId="64ABC1AB" w14:textId="77777777" w:rsidR="00155788" w:rsidRPr="008E6EE4" w:rsidRDefault="00155788" w:rsidP="002C0B40">
            <w:pPr>
              <w:jc w:val="left"/>
              <w:rPr>
                <w:rFonts w:ascii="Segoe UI" w:hAnsi="Segoe UI" w:cs="Segoe UI"/>
                <w:b/>
                <w:bCs/>
              </w:rPr>
            </w:pPr>
            <w:r w:rsidRPr="008E6EE4">
              <w:rPr>
                <w:rFonts w:ascii="Segoe UI" w:hAnsi="Segoe UI" w:cs="Segoe UI"/>
                <w:b/>
                <w:bCs/>
              </w:rPr>
              <w:t>Program Goal</w:t>
            </w:r>
          </w:p>
        </w:tc>
        <w:tc>
          <w:tcPr>
            <w:tcW w:w="5802" w:type="dxa"/>
          </w:tcPr>
          <w:p w14:paraId="2C31B934" w14:textId="77777777" w:rsidR="00155788" w:rsidRDefault="00155788" w:rsidP="002C0B40">
            <w:pPr>
              <w:rPr>
                <w:rFonts w:ascii="Segoe UI" w:hAnsi="Segoe UI" w:cs="Segoe UI"/>
              </w:rPr>
            </w:pPr>
          </w:p>
          <w:p w14:paraId="0A9AD1F1" w14:textId="2532CCE8" w:rsidR="00155788" w:rsidRPr="00860EE3" w:rsidRDefault="00903F44" w:rsidP="002C0B40">
            <w:pPr>
              <w:rPr>
                <w:rFonts w:ascii="Times New Roman" w:hAnsi="Times New Roman" w:cs="Times New Roman"/>
                <w:sz w:val="24"/>
                <w:szCs w:val="24"/>
              </w:rPr>
            </w:pPr>
            <w:r>
              <w:rPr>
                <w:rFonts w:ascii="Times New Roman" w:hAnsi="Times New Roman" w:cs="Times New Roman"/>
                <w:sz w:val="24"/>
                <w:szCs w:val="24"/>
              </w:rPr>
              <w:t>Increase</w:t>
            </w:r>
            <w:r w:rsidR="005C2270">
              <w:rPr>
                <w:rFonts w:ascii="Times New Roman" w:hAnsi="Times New Roman" w:cs="Times New Roman"/>
                <w:sz w:val="24"/>
                <w:szCs w:val="24"/>
              </w:rPr>
              <w:t xml:space="preserve"> </w:t>
            </w:r>
            <w:r>
              <w:rPr>
                <w:rFonts w:ascii="Times New Roman" w:hAnsi="Times New Roman" w:cs="Times New Roman"/>
                <w:sz w:val="24"/>
                <w:szCs w:val="24"/>
              </w:rPr>
              <w:t xml:space="preserve">offering of </w:t>
            </w:r>
            <w:r w:rsidR="005C2270">
              <w:rPr>
                <w:rFonts w:ascii="Times New Roman" w:hAnsi="Times New Roman" w:cs="Times New Roman"/>
                <w:sz w:val="24"/>
                <w:szCs w:val="24"/>
              </w:rPr>
              <w:t>student success workshops related to wellness and health</w:t>
            </w:r>
            <w:r>
              <w:rPr>
                <w:rFonts w:ascii="Times New Roman" w:hAnsi="Times New Roman" w:cs="Times New Roman"/>
                <w:sz w:val="24"/>
                <w:szCs w:val="24"/>
              </w:rPr>
              <w:t xml:space="preserve"> </w:t>
            </w:r>
            <w:r w:rsidR="005C2270">
              <w:rPr>
                <w:rFonts w:ascii="Times New Roman" w:hAnsi="Times New Roman" w:cs="Times New Roman"/>
                <w:sz w:val="24"/>
                <w:szCs w:val="24"/>
              </w:rPr>
              <w:t>education</w:t>
            </w:r>
            <w:r>
              <w:rPr>
                <w:rFonts w:ascii="Times New Roman" w:hAnsi="Times New Roman" w:cs="Times New Roman"/>
                <w:sz w:val="24"/>
                <w:szCs w:val="24"/>
              </w:rPr>
              <w:t xml:space="preserve"> from 2 to 4 annually.</w:t>
            </w:r>
            <w:r w:rsidR="005C2270">
              <w:rPr>
                <w:rFonts w:ascii="Times New Roman" w:hAnsi="Times New Roman" w:cs="Times New Roman"/>
                <w:sz w:val="24"/>
                <w:szCs w:val="24"/>
              </w:rPr>
              <w:t xml:space="preserve"> </w:t>
            </w:r>
          </w:p>
        </w:tc>
      </w:tr>
      <w:tr w:rsidR="00155788" w:rsidRPr="008E6EE4" w14:paraId="01E5AEDD" w14:textId="77777777" w:rsidTr="00A75707">
        <w:trPr>
          <w:trHeight w:val="374"/>
        </w:trPr>
        <w:tc>
          <w:tcPr>
            <w:tcW w:w="3415" w:type="dxa"/>
          </w:tcPr>
          <w:p w14:paraId="49128B12" w14:textId="77777777" w:rsidR="00155788" w:rsidRPr="008E6EE4" w:rsidRDefault="00155788" w:rsidP="002C0B40">
            <w:pPr>
              <w:jc w:val="left"/>
              <w:rPr>
                <w:rFonts w:ascii="Segoe UI" w:hAnsi="Segoe UI" w:cs="Segoe UI"/>
              </w:rPr>
            </w:pPr>
            <w:r w:rsidRPr="008E6EE4">
              <w:rPr>
                <w:rFonts w:ascii="Segoe UI" w:hAnsi="Segoe UI" w:cs="Segoe UI"/>
              </w:rPr>
              <w:t xml:space="preserve">Status: In-Progress or Complete?  </w:t>
            </w:r>
          </w:p>
        </w:tc>
        <w:tc>
          <w:tcPr>
            <w:tcW w:w="5802" w:type="dxa"/>
          </w:tcPr>
          <w:p w14:paraId="676DFF3D" w14:textId="6635B504" w:rsidR="00155788" w:rsidRPr="00E34E09" w:rsidRDefault="005C2270" w:rsidP="002C0B40">
            <w:pPr>
              <w:rPr>
                <w:rFonts w:ascii="Times New Roman" w:hAnsi="Times New Roman" w:cs="Times New Roman"/>
                <w:sz w:val="24"/>
                <w:szCs w:val="24"/>
              </w:rPr>
            </w:pPr>
            <w:r>
              <w:rPr>
                <w:rFonts w:ascii="Times New Roman" w:hAnsi="Times New Roman" w:cs="Times New Roman"/>
                <w:sz w:val="24"/>
                <w:szCs w:val="24"/>
              </w:rPr>
              <w:t>In progress</w:t>
            </w:r>
          </w:p>
        </w:tc>
      </w:tr>
      <w:tr w:rsidR="00155788" w:rsidRPr="008E6EE4" w14:paraId="7E41DB41" w14:textId="77777777" w:rsidTr="00A75707">
        <w:trPr>
          <w:trHeight w:val="914"/>
        </w:trPr>
        <w:tc>
          <w:tcPr>
            <w:tcW w:w="3415" w:type="dxa"/>
          </w:tcPr>
          <w:p w14:paraId="637216BF" w14:textId="77777777" w:rsidR="00155788" w:rsidRPr="008E6EE4" w:rsidRDefault="00155788" w:rsidP="002C0B40">
            <w:pPr>
              <w:jc w:val="left"/>
              <w:rPr>
                <w:rFonts w:ascii="Segoe UI" w:hAnsi="Segoe UI" w:cs="Segoe UI"/>
              </w:rPr>
            </w:pPr>
            <w:r w:rsidRPr="008E6EE4">
              <w:rPr>
                <w:rFonts w:ascii="Segoe UI" w:hAnsi="Segoe UI" w:cs="Segoe UI"/>
              </w:rPr>
              <w:t>Which college or district goal is aligned with your program goal?</w:t>
            </w:r>
          </w:p>
          <w:p w14:paraId="2ADF7BA7" w14:textId="77777777" w:rsidR="00155788" w:rsidRPr="008E6EE4" w:rsidRDefault="00155788" w:rsidP="002C0B40">
            <w:pPr>
              <w:rPr>
                <w:rFonts w:ascii="Segoe UI" w:hAnsi="Segoe UI" w:cs="Segoe UI"/>
              </w:rPr>
            </w:pPr>
          </w:p>
        </w:tc>
        <w:tc>
          <w:tcPr>
            <w:tcW w:w="5802" w:type="dxa"/>
          </w:tcPr>
          <w:p w14:paraId="48DF873E" w14:textId="33EFFC62" w:rsidR="00155788" w:rsidRDefault="005C2270" w:rsidP="002C0B40">
            <w:pPr>
              <w:rPr>
                <w:rFonts w:ascii="Times New Roman" w:hAnsi="Times New Roman" w:cs="Times New Roman"/>
                <w:sz w:val="24"/>
                <w:szCs w:val="24"/>
              </w:rPr>
            </w:pPr>
            <w:r>
              <w:rPr>
                <w:rFonts w:ascii="Times New Roman" w:hAnsi="Times New Roman" w:cs="Times New Roman"/>
                <w:sz w:val="24"/>
                <w:szCs w:val="24"/>
              </w:rPr>
              <w:t>College: Increase retention and persistence rates</w:t>
            </w:r>
          </w:p>
          <w:p w14:paraId="18B2064F" w14:textId="7C0746F4" w:rsidR="005C2270" w:rsidRDefault="005C2270" w:rsidP="002C0B40">
            <w:pPr>
              <w:rPr>
                <w:rFonts w:ascii="Times New Roman" w:hAnsi="Times New Roman" w:cs="Times New Roman"/>
                <w:sz w:val="24"/>
                <w:szCs w:val="24"/>
              </w:rPr>
            </w:pPr>
            <w:r>
              <w:rPr>
                <w:rFonts w:ascii="Times New Roman" w:hAnsi="Times New Roman" w:cs="Times New Roman"/>
                <w:sz w:val="24"/>
                <w:szCs w:val="24"/>
              </w:rPr>
              <w:t>District: Advance student access, equity, and success</w:t>
            </w:r>
          </w:p>
          <w:p w14:paraId="339869B9" w14:textId="77777777" w:rsidR="00D161B4" w:rsidRDefault="00D161B4" w:rsidP="002C0B40">
            <w:pPr>
              <w:rPr>
                <w:rFonts w:ascii="Times New Roman" w:hAnsi="Times New Roman" w:cs="Times New Roman"/>
                <w:sz w:val="24"/>
                <w:szCs w:val="24"/>
              </w:rPr>
            </w:pPr>
          </w:p>
          <w:p w14:paraId="5E37D13F" w14:textId="77777777" w:rsidR="00D161B4" w:rsidRDefault="00D161B4" w:rsidP="002C0B40">
            <w:pPr>
              <w:rPr>
                <w:rFonts w:ascii="Times New Roman" w:hAnsi="Times New Roman" w:cs="Times New Roman"/>
                <w:sz w:val="24"/>
                <w:szCs w:val="24"/>
              </w:rPr>
            </w:pPr>
          </w:p>
          <w:p w14:paraId="5F74AB35" w14:textId="77777777" w:rsidR="00D161B4" w:rsidRDefault="00D161B4" w:rsidP="002C0B40">
            <w:pPr>
              <w:rPr>
                <w:rFonts w:ascii="Times New Roman" w:hAnsi="Times New Roman" w:cs="Times New Roman"/>
                <w:sz w:val="24"/>
                <w:szCs w:val="24"/>
              </w:rPr>
            </w:pPr>
          </w:p>
          <w:p w14:paraId="5A976D1D" w14:textId="1E633854" w:rsidR="00D161B4" w:rsidRPr="00E34E09" w:rsidRDefault="00D161B4" w:rsidP="002C0B40">
            <w:pPr>
              <w:rPr>
                <w:rFonts w:ascii="Times New Roman" w:hAnsi="Times New Roman" w:cs="Times New Roman"/>
                <w:sz w:val="24"/>
                <w:szCs w:val="24"/>
              </w:rPr>
            </w:pPr>
          </w:p>
        </w:tc>
      </w:tr>
    </w:tbl>
    <w:p w14:paraId="5F449241" w14:textId="0FB15F35" w:rsidR="00155788" w:rsidRDefault="00155788" w:rsidP="007A46E8">
      <w:pPr>
        <w:rPr>
          <w:rFonts w:ascii="Segoe UI" w:hAnsi="Segoe UI" w:cs="Segoe UI"/>
        </w:rPr>
      </w:pPr>
    </w:p>
    <w:tbl>
      <w:tblPr>
        <w:tblStyle w:val="TableGrid2"/>
        <w:tblW w:w="9229" w:type="dxa"/>
        <w:tblLook w:val="04A0" w:firstRow="1" w:lastRow="0" w:firstColumn="1" w:lastColumn="0" w:noHBand="0" w:noVBand="1"/>
      </w:tblPr>
      <w:tblGrid>
        <w:gridCol w:w="3415"/>
        <w:gridCol w:w="5814"/>
      </w:tblGrid>
      <w:tr w:rsidR="00155788" w:rsidRPr="008E6EE4" w14:paraId="5DBE27FC" w14:textId="77777777" w:rsidTr="00A75707">
        <w:trPr>
          <w:trHeight w:val="464"/>
        </w:trPr>
        <w:tc>
          <w:tcPr>
            <w:tcW w:w="3415" w:type="dxa"/>
          </w:tcPr>
          <w:p w14:paraId="282D8532" w14:textId="77777777" w:rsidR="00155788" w:rsidRPr="008E6EE4" w:rsidRDefault="00155788" w:rsidP="002C0B40">
            <w:pPr>
              <w:jc w:val="left"/>
              <w:rPr>
                <w:rFonts w:ascii="Segoe UI" w:hAnsi="Segoe UI" w:cs="Segoe UI"/>
                <w:b/>
                <w:bCs/>
              </w:rPr>
            </w:pPr>
            <w:r w:rsidRPr="008E6EE4">
              <w:rPr>
                <w:rFonts w:ascii="Segoe UI" w:hAnsi="Segoe UI" w:cs="Segoe UI"/>
                <w:b/>
                <w:bCs/>
              </w:rPr>
              <w:t>Program Goal</w:t>
            </w:r>
          </w:p>
        </w:tc>
        <w:tc>
          <w:tcPr>
            <w:tcW w:w="5814" w:type="dxa"/>
          </w:tcPr>
          <w:p w14:paraId="5378D632" w14:textId="2AFC8B4F" w:rsidR="00155788" w:rsidRPr="00860EE3" w:rsidRDefault="005C2270" w:rsidP="002C0B40">
            <w:pPr>
              <w:rPr>
                <w:rFonts w:ascii="Times New Roman" w:hAnsi="Times New Roman" w:cs="Times New Roman"/>
                <w:sz w:val="24"/>
                <w:szCs w:val="24"/>
              </w:rPr>
            </w:pPr>
            <w:r>
              <w:rPr>
                <w:rFonts w:ascii="Times New Roman" w:hAnsi="Times New Roman" w:cs="Times New Roman"/>
                <w:sz w:val="24"/>
                <w:szCs w:val="24"/>
              </w:rPr>
              <w:t>Assess for success at providing culturally sensitive services for students</w:t>
            </w:r>
            <w:r w:rsidR="00903F44">
              <w:rPr>
                <w:rFonts w:ascii="Times New Roman" w:hAnsi="Times New Roman" w:cs="Times New Roman"/>
                <w:sz w:val="24"/>
                <w:szCs w:val="24"/>
              </w:rPr>
              <w:t xml:space="preserve"> by surveying students about their experience with wellness services</w:t>
            </w:r>
            <w:r>
              <w:rPr>
                <w:rFonts w:ascii="Times New Roman" w:hAnsi="Times New Roman" w:cs="Times New Roman"/>
                <w:sz w:val="24"/>
                <w:szCs w:val="24"/>
              </w:rPr>
              <w:t>.</w:t>
            </w:r>
          </w:p>
        </w:tc>
      </w:tr>
      <w:tr w:rsidR="00155788" w:rsidRPr="008E6EE4" w14:paraId="7272A248" w14:textId="77777777" w:rsidTr="00A75707">
        <w:trPr>
          <w:trHeight w:val="388"/>
        </w:trPr>
        <w:tc>
          <w:tcPr>
            <w:tcW w:w="3415" w:type="dxa"/>
          </w:tcPr>
          <w:p w14:paraId="6310D6FF" w14:textId="77777777" w:rsidR="00155788" w:rsidRPr="008E6EE4" w:rsidRDefault="00155788" w:rsidP="002C0B40">
            <w:pPr>
              <w:jc w:val="left"/>
              <w:rPr>
                <w:rFonts w:ascii="Segoe UI" w:hAnsi="Segoe UI" w:cs="Segoe UI"/>
              </w:rPr>
            </w:pPr>
            <w:r w:rsidRPr="008E6EE4">
              <w:rPr>
                <w:rFonts w:ascii="Segoe UI" w:hAnsi="Segoe UI" w:cs="Segoe UI"/>
              </w:rPr>
              <w:t xml:space="preserve">Status: In-Progress or Complete?  </w:t>
            </w:r>
          </w:p>
        </w:tc>
        <w:tc>
          <w:tcPr>
            <w:tcW w:w="5814" w:type="dxa"/>
          </w:tcPr>
          <w:p w14:paraId="1814D66C" w14:textId="4B8C7455" w:rsidR="00155788" w:rsidRPr="00E34E09" w:rsidRDefault="005C2270" w:rsidP="002C0B40">
            <w:pPr>
              <w:rPr>
                <w:rFonts w:ascii="Times New Roman" w:hAnsi="Times New Roman" w:cs="Times New Roman"/>
                <w:sz w:val="24"/>
                <w:szCs w:val="24"/>
              </w:rPr>
            </w:pPr>
            <w:r>
              <w:rPr>
                <w:rFonts w:ascii="Times New Roman" w:hAnsi="Times New Roman" w:cs="Times New Roman"/>
                <w:sz w:val="24"/>
                <w:szCs w:val="24"/>
              </w:rPr>
              <w:t>In progress</w:t>
            </w:r>
          </w:p>
        </w:tc>
      </w:tr>
      <w:tr w:rsidR="00155788" w:rsidRPr="008E6EE4" w14:paraId="29CAD1ED" w14:textId="77777777" w:rsidTr="00A75707">
        <w:trPr>
          <w:trHeight w:val="925"/>
        </w:trPr>
        <w:tc>
          <w:tcPr>
            <w:tcW w:w="3415" w:type="dxa"/>
          </w:tcPr>
          <w:p w14:paraId="32C89513" w14:textId="77777777" w:rsidR="00155788" w:rsidRPr="008E6EE4" w:rsidRDefault="00155788" w:rsidP="002C0B40">
            <w:pPr>
              <w:jc w:val="left"/>
              <w:rPr>
                <w:rFonts w:ascii="Segoe UI" w:hAnsi="Segoe UI" w:cs="Segoe UI"/>
              </w:rPr>
            </w:pPr>
            <w:r w:rsidRPr="008E6EE4">
              <w:rPr>
                <w:rFonts w:ascii="Segoe UI" w:hAnsi="Segoe UI" w:cs="Segoe UI"/>
              </w:rPr>
              <w:t>Which college or district goal is aligned with your program goal?</w:t>
            </w:r>
          </w:p>
          <w:p w14:paraId="540BC98D" w14:textId="77777777" w:rsidR="00155788" w:rsidRPr="008E6EE4" w:rsidRDefault="00155788" w:rsidP="002C0B40">
            <w:pPr>
              <w:rPr>
                <w:rFonts w:ascii="Segoe UI" w:hAnsi="Segoe UI" w:cs="Segoe UI"/>
              </w:rPr>
            </w:pPr>
          </w:p>
        </w:tc>
        <w:tc>
          <w:tcPr>
            <w:tcW w:w="5814" w:type="dxa"/>
          </w:tcPr>
          <w:p w14:paraId="325723DB" w14:textId="1C902D86" w:rsidR="00155788" w:rsidRDefault="005C2270" w:rsidP="002C0B40">
            <w:pPr>
              <w:rPr>
                <w:rFonts w:ascii="Times New Roman" w:hAnsi="Times New Roman" w:cs="Times New Roman"/>
                <w:sz w:val="24"/>
                <w:szCs w:val="24"/>
              </w:rPr>
            </w:pPr>
            <w:r>
              <w:rPr>
                <w:rFonts w:ascii="Times New Roman" w:hAnsi="Times New Roman" w:cs="Times New Roman"/>
                <w:sz w:val="24"/>
                <w:szCs w:val="24"/>
              </w:rPr>
              <w:t>College: Increase retention and persistence rates</w:t>
            </w:r>
          </w:p>
          <w:p w14:paraId="622F1D42" w14:textId="0C6609AE" w:rsidR="005C2270" w:rsidRPr="00860EE3" w:rsidRDefault="005C2270" w:rsidP="002C0B40">
            <w:pPr>
              <w:rPr>
                <w:rFonts w:ascii="Times New Roman" w:hAnsi="Times New Roman" w:cs="Times New Roman"/>
                <w:sz w:val="24"/>
                <w:szCs w:val="24"/>
              </w:rPr>
            </w:pPr>
            <w:r>
              <w:rPr>
                <w:rFonts w:ascii="Times New Roman" w:hAnsi="Times New Roman" w:cs="Times New Roman"/>
                <w:sz w:val="24"/>
                <w:szCs w:val="24"/>
              </w:rPr>
              <w:t>District: Advance student access, equity, and success</w:t>
            </w:r>
          </w:p>
          <w:p w14:paraId="39C13B74" w14:textId="77777777" w:rsidR="00D161B4" w:rsidRPr="00860EE3" w:rsidRDefault="00D161B4" w:rsidP="002C0B40">
            <w:pPr>
              <w:rPr>
                <w:rFonts w:ascii="Times New Roman" w:hAnsi="Times New Roman" w:cs="Times New Roman"/>
                <w:sz w:val="24"/>
                <w:szCs w:val="24"/>
              </w:rPr>
            </w:pPr>
          </w:p>
          <w:p w14:paraId="75C38D0C" w14:textId="77777777" w:rsidR="00D161B4" w:rsidRPr="00860EE3" w:rsidRDefault="00D161B4" w:rsidP="002C0B40">
            <w:pPr>
              <w:rPr>
                <w:rFonts w:ascii="Times New Roman" w:hAnsi="Times New Roman" w:cs="Times New Roman"/>
                <w:sz w:val="24"/>
                <w:szCs w:val="24"/>
              </w:rPr>
            </w:pPr>
          </w:p>
          <w:p w14:paraId="63400348" w14:textId="45129AA5" w:rsidR="00D161B4" w:rsidRPr="00860EE3" w:rsidRDefault="00D161B4" w:rsidP="002C0B40">
            <w:pPr>
              <w:rPr>
                <w:rFonts w:ascii="Times New Roman" w:hAnsi="Times New Roman" w:cs="Times New Roman"/>
                <w:sz w:val="24"/>
                <w:szCs w:val="24"/>
              </w:rPr>
            </w:pPr>
          </w:p>
        </w:tc>
      </w:tr>
    </w:tbl>
    <w:p w14:paraId="74FA50EA" w14:textId="64B2182B" w:rsidR="00155788" w:rsidRDefault="00155788" w:rsidP="007A46E8">
      <w:pPr>
        <w:rPr>
          <w:rFonts w:ascii="Segoe UI" w:hAnsi="Segoe UI" w:cs="Segoe UI"/>
        </w:rPr>
      </w:pPr>
    </w:p>
    <w:p w14:paraId="639FA4C5" w14:textId="7A0F6215" w:rsidR="00CA17E0" w:rsidRPr="005A4E46" w:rsidRDefault="00CA17E0" w:rsidP="00E34E09">
      <w:pPr>
        <w:jc w:val="left"/>
        <w:rPr>
          <w:rFonts w:ascii="Segoe UI" w:hAnsi="Segoe UI" w:cs="Segoe UI"/>
        </w:rPr>
      </w:pPr>
      <w:r>
        <w:rPr>
          <w:rFonts w:ascii="Segoe UI" w:hAnsi="Segoe UI" w:cs="Segoe UI"/>
        </w:rPr>
        <w:t xml:space="preserve">List the </w:t>
      </w:r>
      <w:r w:rsidRPr="00CA17E0">
        <w:rPr>
          <w:rFonts w:ascii="Segoe UI" w:hAnsi="Segoe UI" w:cs="Segoe UI"/>
        </w:rPr>
        <w:t>essential functions of your department, program or un</w:t>
      </w:r>
      <w:r w:rsidR="001408D7">
        <w:rPr>
          <w:rFonts w:ascii="Segoe UI" w:hAnsi="Segoe UI" w:cs="Segoe UI"/>
        </w:rPr>
        <w:t xml:space="preserve">it and provide </w:t>
      </w:r>
      <w:r w:rsidRPr="00CA17E0">
        <w:rPr>
          <w:rFonts w:ascii="Segoe UI" w:hAnsi="Segoe UI" w:cs="Segoe UI"/>
        </w:rPr>
        <w:t>a description of how the unit aligns with the college mission</w:t>
      </w:r>
      <w:r>
        <w:rPr>
          <w:rFonts w:ascii="Segoe UI" w:hAnsi="Segoe UI" w:cs="Segoe UI"/>
        </w:rPr>
        <w:t>.</w:t>
      </w:r>
    </w:p>
    <w:tbl>
      <w:tblPr>
        <w:tblStyle w:val="TableGrid"/>
        <w:tblW w:w="9282" w:type="dxa"/>
        <w:tblLook w:val="04A0" w:firstRow="1" w:lastRow="0" w:firstColumn="1" w:lastColumn="0" w:noHBand="0" w:noVBand="1"/>
      </w:tblPr>
      <w:tblGrid>
        <w:gridCol w:w="9282"/>
      </w:tblGrid>
      <w:tr w:rsidR="00CA17E0" w:rsidRPr="00E34E09" w14:paraId="15D8DABF" w14:textId="77777777" w:rsidTr="00A75707">
        <w:trPr>
          <w:trHeight w:val="2221"/>
        </w:trPr>
        <w:tc>
          <w:tcPr>
            <w:tcW w:w="9282" w:type="dxa"/>
          </w:tcPr>
          <w:p w14:paraId="4841842F" w14:textId="108E6118" w:rsidR="00B37A60" w:rsidRPr="00C0122A" w:rsidRDefault="00B37A60" w:rsidP="00B37A60">
            <w:pPr>
              <w:rPr>
                <w:rFonts w:ascii="Times New Roman" w:hAnsi="Times New Roman" w:cs="Times New Roman"/>
              </w:rPr>
            </w:pPr>
            <w:r w:rsidRPr="00C0122A">
              <w:rPr>
                <w:rFonts w:ascii="Times New Roman" w:hAnsi="Times New Roman" w:cs="Times New Roman"/>
              </w:rPr>
              <w:t>The essential functions of wellness services are to provide students with access to services which promote physical, emotional, social, and spiritual well-being. Our department provides mental health wellness support for students</w:t>
            </w:r>
            <w:r w:rsidR="0076576C" w:rsidRPr="00C0122A">
              <w:rPr>
                <w:rFonts w:ascii="Times New Roman" w:hAnsi="Times New Roman" w:cs="Times New Roman"/>
              </w:rPr>
              <w:t xml:space="preserve"> </w:t>
            </w:r>
            <w:r w:rsidRPr="00C0122A">
              <w:rPr>
                <w:rFonts w:ascii="Times New Roman" w:hAnsi="Times New Roman" w:cs="Times New Roman"/>
              </w:rPr>
              <w:t>by: providing individual counseling sessions, support</w:t>
            </w:r>
            <w:r w:rsidR="0076576C" w:rsidRPr="00C0122A">
              <w:rPr>
                <w:rFonts w:ascii="Times New Roman" w:hAnsi="Times New Roman" w:cs="Times New Roman"/>
              </w:rPr>
              <w:t xml:space="preserve"> groups</w:t>
            </w:r>
            <w:r w:rsidRPr="00C0122A">
              <w:rPr>
                <w:rFonts w:ascii="Times New Roman" w:hAnsi="Times New Roman" w:cs="Times New Roman"/>
              </w:rPr>
              <w:t>, crisis intervention</w:t>
            </w:r>
            <w:r w:rsidR="009D6313" w:rsidRPr="00C0122A">
              <w:rPr>
                <w:rFonts w:ascii="Times New Roman" w:hAnsi="Times New Roman" w:cs="Times New Roman"/>
              </w:rPr>
              <w:t xml:space="preserve">, </w:t>
            </w:r>
            <w:r w:rsidRPr="00C0122A">
              <w:rPr>
                <w:rFonts w:ascii="Times New Roman" w:hAnsi="Times New Roman" w:cs="Times New Roman"/>
              </w:rPr>
              <w:t>consultation,</w:t>
            </w:r>
            <w:r w:rsidR="009D6313" w:rsidRPr="00C0122A">
              <w:rPr>
                <w:rFonts w:ascii="Times New Roman" w:hAnsi="Times New Roman" w:cs="Times New Roman"/>
              </w:rPr>
              <w:t xml:space="preserve"> referrals,</w:t>
            </w:r>
            <w:r w:rsidRPr="00C0122A">
              <w:rPr>
                <w:rFonts w:ascii="Times New Roman" w:hAnsi="Times New Roman" w:cs="Times New Roman"/>
              </w:rPr>
              <w:t xml:space="preserve"> and campus wide workshops and training. </w:t>
            </w:r>
          </w:p>
          <w:p w14:paraId="5E4CCCE1" w14:textId="412F8FA3" w:rsidR="00B37A60" w:rsidRPr="00C0122A" w:rsidRDefault="00B37A60" w:rsidP="00B37A60">
            <w:pPr>
              <w:rPr>
                <w:rFonts w:ascii="Times New Roman" w:hAnsi="Times New Roman" w:cs="Times New Roman"/>
              </w:rPr>
            </w:pPr>
            <w:r w:rsidRPr="00C0122A">
              <w:rPr>
                <w:rFonts w:ascii="Times New Roman" w:hAnsi="Times New Roman" w:cs="Times New Roman"/>
              </w:rPr>
              <w:t xml:space="preserve">The medical services provided through our community clinic </w:t>
            </w:r>
            <w:r w:rsidR="00EB1C77" w:rsidRPr="00C0122A">
              <w:rPr>
                <w:rFonts w:ascii="Times New Roman" w:hAnsi="Times New Roman" w:cs="Times New Roman"/>
              </w:rPr>
              <w:t>partner Roots</w:t>
            </w:r>
            <w:r w:rsidRPr="00C0122A">
              <w:rPr>
                <w:rFonts w:ascii="Times New Roman" w:hAnsi="Times New Roman" w:cs="Times New Roman"/>
              </w:rPr>
              <w:t xml:space="preserve"> include, but are not limited to: first aid, pregnancy testing, health education, smoking cessation, health and wellness counseling, triage, flu shots, COVID-19 testing, health insurance counseling, and referrals to off-site facilities.</w:t>
            </w:r>
            <w:r w:rsidR="00EB1C77" w:rsidRPr="00C0122A">
              <w:rPr>
                <w:rFonts w:ascii="Times New Roman" w:hAnsi="Times New Roman" w:cs="Times New Roman"/>
              </w:rPr>
              <w:t xml:space="preserve"> </w:t>
            </w:r>
          </w:p>
          <w:p w14:paraId="03ECAEA1" w14:textId="4722EB04" w:rsidR="00CA17E0" w:rsidRPr="00C0122A" w:rsidRDefault="00CA17E0" w:rsidP="00CA17E0">
            <w:pPr>
              <w:rPr>
                <w:rFonts w:ascii="Times New Roman" w:hAnsi="Times New Roman" w:cs="Times New Roman"/>
              </w:rPr>
            </w:pPr>
          </w:p>
          <w:p w14:paraId="219EC867" w14:textId="4FD77CEA" w:rsidR="009D6313" w:rsidRDefault="00F11B04" w:rsidP="00CA17E0">
            <w:pPr>
              <w:rPr>
                <w:rFonts w:ascii="Times New Roman" w:hAnsi="Times New Roman" w:cs="Times New Roman"/>
              </w:rPr>
            </w:pPr>
            <w:r w:rsidRPr="00C0122A">
              <w:rPr>
                <w:rFonts w:ascii="Times New Roman" w:hAnsi="Times New Roman" w:cs="Times New Roman"/>
              </w:rPr>
              <w:t xml:space="preserve">A new full-time Health Services Coordinator was recently hired in July 2020 after a year of a Psychologist/DSPS Counselor covering part-time hours in the Health Services Department in order to oversee mental health interns during the 2019-2020 academic school year. </w:t>
            </w:r>
            <w:r w:rsidR="009D6313" w:rsidRPr="00C0122A">
              <w:rPr>
                <w:rFonts w:ascii="Times New Roman" w:hAnsi="Times New Roman" w:cs="Times New Roman"/>
              </w:rPr>
              <w:t xml:space="preserve">During the fall 2020 semester and pivot to remote services, </w:t>
            </w:r>
            <w:r w:rsidRPr="00C0122A">
              <w:rPr>
                <w:rFonts w:ascii="Times New Roman" w:hAnsi="Times New Roman" w:cs="Times New Roman"/>
              </w:rPr>
              <w:t xml:space="preserve">333 counseling appointments were utilized out of 384 appointments offered with an overall utilization rate of 87%. </w:t>
            </w:r>
            <w:r w:rsidR="009C47E3">
              <w:rPr>
                <w:rFonts w:ascii="Times New Roman" w:hAnsi="Times New Roman" w:cs="Times New Roman"/>
              </w:rPr>
              <w:t xml:space="preserve">A total of 65 unduplicated students were supported by mental health services.  </w:t>
            </w:r>
            <w:r w:rsidRPr="00C0122A">
              <w:rPr>
                <w:rFonts w:ascii="Times New Roman" w:hAnsi="Times New Roman" w:cs="Times New Roman"/>
              </w:rPr>
              <w:t xml:space="preserve">As students and staff have adjusted to the remote campus, we imagine that there will be an increase in the </w:t>
            </w:r>
            <w:r w:rsidR="00AF5B26" w:rsidRPr="00C0122A">
              <w:rPr>
                <w:rFonts w:ascii="Times New Roman" w:hAnsi="Times New Roman" w:cs="Times New Roman"/>
              </w:rPr>
              <w:t>number</w:t>
            </w:r>
            <w:r w:rsidRPr="00C0122A">
              <w:rPr>
                <w:rFonts w:ascii="Times New Roman" w:hAnsi="Times New Roman" w:cs="Times New Roman"/>
              </w:rPr>
              <w:t xml:space="preserve"> of students accessing services moving forward. Please note that the Health Services Coordinator is the only full-time faculty overseeing the above mental health services essential functions; there is currently no part-time faculty or classified staff assigned to support the department.</w:t>
            </w:r>
          </w:p>
          <w:p w14:paraId="7D90A5AE" w14:textId="3131095C" w:rsidR="00422ABD" w:rsidRDefault="00422ABD" w:rsidP="00CA17E0">
            <w:pPr>
              <w:rPr>
                <w:rFonts w:ascii="Times New Roman" w:hAnsi="Times New Roman" w:cs="Times New Roman"/>
              </w:rPr>
            </w:pPr>
          </w:p>
          <w:p w14:paraId="4140DFB8" w14:textId="70DECEDF" w:rsidR="00422ABD" w:rsidRDefault="00422ABD" w:rsidP="00CA17E0">
            <w:pPr>
              <w:rPr>
                <w:rFonts w:ascii="Times New Roman" w:hAnsi="Times New Roman" w:cs="Times New Roman"/>
              </w:rPr>
            </w:pPr>
            <w:r>
              <w:rPr>
                <w:rFonts w:ascii="Times New Roman" w:hAnsi="Times New Roman" w:cs="Times New Roman"/>
              </w:rPr>
              <w:t>The data provided by Roots Clinic on student utilization is the following :</w:t>
            </w:r>
          </w:p>
          <w:p w14:paraId="5EE724F3" w14:textId="2E33B1FC" w:rsidR="00422ABD" w:rsidRDefault="00422ABD" w:rsidP="00CA17E0">
            <w:pPr>
              <w:rPr>
                <w:rFonts w:ascii="Times New Roman" w:hAnsi="Times New Roman" w:cs="Times New Roman"/>
              </w:rPr>
            </w:pPr>
            <w:r>
              <w:rPr>
                <w:rFonts w:ascii="Times New Roman" w:hAnsi="Times New Roman" w:cs="Times New Roman"/>
              </w:rPr>
              <w:t>Spring 2020 – 29 unduplicated students across 53 nursing appointments and 4 navigation appointments</w:t>
            </w:r>
          </w:p>
          <w:p w14:paraId="103FD1BD" w14:textId="76718D71" w:rsidR="00422ABD" w:rsidRPr="00C0122A" w:rsidRDefault="00422ABD" w:rsidP="00CA17E0">
            <w:pPr>
              <w:rPr>
                <w:rFonts w:ascii="Times New Roman" w:hAnsi="Times New Roman" w:cs="Times New Roman"/>
              </w:rPr>
            </w:pPr>
            <w:r>
              <w:rPr>
                <w:rFonts w:ascii="Times New Roman" w:hAnsi="Times New Roman" w:cs="Times New Roman"/>
              </w:rPr>
              <w:t>Fall 2021 – 2 unduplicated students across 3 appointments and 0 navigation appointments</w:t>
            </w:r>
          </w:p>
          <w:p w14:paraId="7E66C1BA" w14:textId="77777777" w:rsidR="009D6313" w:rsidRPr="00C0122A" w:rsidRDefault="009D6313" w:rsidP="00CA17E0">
            <w:pPr>
              <w:rPr>
                <w:rFonts w:ascii="Times New Roman" w:hAnsi="Times New Roman" w:cs="Times New Roman"/>
              </w:rPr>
            </w:pPr>
          </w:p>
          <w:p w14:paraId="0A165573" w14:textId="6E70C197" w:rsidR="00B37A60" w:rsidRPr="00E34E09" w:rsidRDefault="00B37A60" w:rsidP="00F11B04">
            <w:pPr>
              <w:rPr>
                <w:rFonts w:ascii="Times New Roman" w:hAnsi="Times New Roman" w:cs="Times New Roman"/>
                <w:sz w:val="24"/>
                <w:szCs w:val="24"/>
              </w:rPr>
            </w:pPr>
            <w:r w:rsidRPr="00C0122A">
              <w:rPr>
                <w:rFonts w:ascii="Times New Roman" w:hAnsi="Times New Roman" w:cs="Times New Roman"/>
              </w:rPr>
              <w:t>Health Services aligns with the greater college mission statement as it provides services that address barriers to equal access and ability to complete courses.</w:t>
            </w:r>
            <w:r w:rsidRPr="00F11B04">
              <w:rPr>
                <w:rFonts w:ascii="Times New Roman" w:hAnsi="Times New Roman" w:cs="Times New Roman"/>
              </w:rPr>
              <w:t xml:space="preserve">  </w:t>
            </w:r>
          </w:p>
        </w:tc>
      </w:tr>
    </w:tbl>
    <w:p w14:paraId="75CB872A" w14:textId="77777777" w:rsidR="00CA17E0" w:rsidRPr="005A4E46" w:rsidRDefault="00CA17E0" w:rsidP="007A46E8">
      <w:pPr>
        <w:rPr>
          <w:rFonts w:ascii="Segoe UI" w:hAnsi="Segoe UI" w:cs="Segoe UI"/>
        </w:rPr>
      </w:pPr>
    </w:p>
    <w:p w14:paraId="2089CC01" w14:textId="77777777" w:rsidR="00CA17E0" w:rsidRDefault="00CA17E0" w:rsidP="00CA17E0">
      <w:pPr>
        <w:rPr>
          <w:rFonts w:ascii="Segoe UI" w:hAnsi="Segoe UI" w:cs="Segoe UI"/>
          <w:sz w:val="20"/>
          <w:szCs w:val="20"/>
        </w:rPr>
      </w:pPr>
    </w:p>
    <w:p w14:paraId="37782938" w14:textId="7B48CBA9" w:rsidR="00CA17E0" w:rsidRDefault="00A75707" w:rsidP="00A75707">
      <w:pPr>
        <w:pStyle w:val="ListParagraph"/>
        <w:ind w:left="0"/>
        <w:jc w:val="center"/>
        <w:rPr>
          <w:rFonts w:ascii="Segoe UI" w:hAnsi="Segoe UI" w:cs="Segoe UI"/>
        </w:rPr>
      </w:pPr>
      <w:r>
        <w:rPr>
          <w:noProof/>
        </w:rPr>
        <w:lastRenderedPageBreak/>
        <w:drawing>
          <wp:inline distT="0" distB="0" distL="0" distR="0" wp14:anchorId="0FE4C053" wp14:editId="54BE2A2E">
            <wp:extent cx="5943600" cy="3745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45230"/>
                    </a:xfrm>
                    <a:prstGeom prst="rect">
                      <a:avLst/>
                    </a:prstGeom>
                  </pic:spPr>
                </pic:pic>
              </a:graphicData>
            </a:graphic>
          </wp:inline>
        </w:drawing>
      </w:r>
    </w:p>
    <w:p w14:paraId="2C7A354A" w14:textId="3CF726FA" w:rsidR="007F0672" w:rsidRPr="00D8373E" w:rsidRDefault="00EC1867" w:rsidP="00CA17E0">
      <w:pPr>
        <w:jc w:val="left"/>
        <w:rPr>
          <w:rFonts w:ascii="Segoe UI" w:hAnsi="Segoe UI" w:cs="Segoe UI"/>
          <w:b/>
          <w:bCs/>
          <w:color w:val="FF0000"/>
        </w:rPr>
      </w:pPr>
      <w:hyperlink r:id="rId11" w:history="1">
        <w:r w:rsidR="007F0672" w:rsidRPr="00D8373E">
          <w:rPr>
            <w:rStyle w:val="Hyperlink"/>
            <w:rFonts w:ascii="Segoe UI" w:hAnsi="Segoe UI" w:cs="Segoe UI"/>
            <w:b/>
            <w:bCs/>
            <w:color w:val="FF0000"/>
          </w:rPr>
          <w:t>Demographics dashboard link</w:t>
        </w:r>
      </w:hyperlink>
    </w:p>
    <w:p w14:paraId="6ECF8FCC" w14:textId="2C0A6C35" w:rsidR="003C5F3E" w:rsidRDefault="003C5F3E" w:rsidP="00CA17E0">
      <w:pPr>
        <w:jc w:val="left"/>
        <w:rPr>
          <w:rFonts w:ascii="Segoe UI" w:hAnsi="Segoe UI" w:cs="Segoe UI"/>
        </w:rPr>
      </w:pPr>
      <w:r>
        <w:rPr>
          <w:rFonts w:ascii="Segoe UI" w:hAnsi="Segoe UI" w:cs="Segoe UI"/>
        </w:rPr>
        <w:t>Describe</w:t>
      </w:r>
      <w:r w:rsidR="00CA17E0" w:rsidRPr="00CA17E0">
        <w:rPr>
          <w:rFonts w:ascii="Segoe UI" w:hAnsi="Segoe UI" w:cs="Segoe UI"/>
        </w:rPr>
        <w:t xml:space="preserve"> how external factors</w:t>
      </w:r>
      <w:r w:rsidR="001408D7">
        <w:rPr>
          <w:rFonts w:ascii="Segoe UI" w:hAnsi="Segoe UI" w:cs="Segoe UI"/>
        </w:rPr>
        <w:t xml:space="preserve"> such as </w:t>
      </w:r>
      <w:r>
        <w:rPr>
          <w:rFonts w:ascii="Segoe UI" w:hAnsi="Segoe UI" w:cs="Segoe UI"/>
        </w:rPr>
        <w:t>the implementation</w:t>
      </w:r>
      <w:r w:rsidR="001408D7">
        <w:rPr>
          <w:rFonts w:ascii="Segoe UI" w:hAnsi="Segoe UI" w:cs="Segoe UI"/>
        </w:rPr>
        <w:t xml:space="preserve"> Guided Pathways, AB705, Student Centered Funding Formula, </w:t>
      </w:r>
      <w:r w:rsidR="00CA17E0" w:rsidRPr="00CA17E0">
        <w:rPr>
          <w:rFonts w:ascii="Segoe UI" w:hAnsi="Segoe UI" w:cs="Segoe UI"/>
        </w:rPr>
        <w:t xml:space="preserve">advisory board recommendations, changing demographics, </w:t>
      </w:r>
      <w:r w:rsidR="00E34E09">
        <w:rPr>
          <w:rFonts w:ascii="Segoe UI" w:hAnsi="Segoe UI" w:cs="Segoe UI"/>
        </w:rPr>
        <w:t>and/or COVID-19 has</w:t>
      </w:r>
      <w:r w:rsidR="00CA17E0" w:rsidRPr="00CA17E0">
        <w:rPr>
          <w:rFonts w:ascii="Segoe UI" w:hAnsi="Segoe UI" w:cs="Segoe UI"/>
        </w:rPr>
        <w:t xml:space="preserve"> impact</w:t>
      </w:r>
      <w:r w:rsidR="00E34E09">
        <w:rPr>
          <w:rFonts w:ascii="Segoe UI" w:hAnsi="Segoe UI" w:cs="Segoe UI"/>
        </w:rPr>
        <w:t>ed</w:t>
      </w:r>
      <w:r w:rsidR="00CA17E0" w:rsidRPr="00CA17E0">
        <w:rPr>
          <w:rFonts w:ascii="Segoe UI" w:hAnsi="Segoe UI" w:cs="Segoe UI"/>
        </w:rPr>
        <w:t xml:space="preserve"> the support services your </w:t>
      </w:r>
      <w:r>
        <w:rPr>
          <w:rFonts w:ascii="Segoe UI" w:hAnsi="Segoe UI" w:cs="Segoe UI"/>
        </w:rPr>
        <w:t>program</w:t>
      </w:r>
      <w:r w:rsidR="00CA17E0" w:rsidRPr="00CA17E0">
        <w:rPr>
          <w:rFonts w:ascii="Segoe UI" w:hAnsi="Segoe UI" w:cs="Segoe UI"/>
        </w:rPr>
        <w:t xml:space="preserve"> or administrative unit provides.</w:t>
      </w:r>
      <w:r>
        <w:rPr>
          <w:rFonts w:ascii="Segoe UI" w:hAnsi="Segoe UI" w:cs="Segoe UI"/>
        </w:rPr>
        <w:t xml:space="preserve"> </w:t>
      </w:r>
    </w:p>
    <w:p w14:paraId="1A177AAA" w14:textId="59B61DCC" w:rsidR="00CA17E0" w:rsidRDefault="003C5F3E" w:rsidP="00A75707">
      <w:pPr>
        <w:jc w:val="left"/>
        <w:rPr>
          <w:rFonts w:ascii="Segoe UI" w:hAnsi="Segoe UI" w:cs="Segoe UI"/>
        </w:rPr>
      </w:pPr>
      <w:r>
        <w:rPr>
          <w:rFonts w:ascii="Segoe UI" w:hAnsi="Segoe UI" w:cs="Segoe UI"/>
        </w:rPr>
        <w:t xml:space="preserve">How has your program addressed these changes or challenges to ensure students are supported and can continue to work towards meeting their educational goals? </w:t>
      </w:r>
    </w:p>
    <w:p w14:paraId="3AA20A27" w14:textId="5E257DCA" w:rsidR="001408D7" w:rsidRPr="00A75707" w:rsidRDefault="001408D7" w:rsidP="00A75707">
      <w:pPr>
        <w:jc w:val="left"/>
        <w:rPr>
          <w:rFonts w:ascii="Segoe UI" w:hAnsi="Segoe UI" w:cs="Segoe UI"/>
        </w:rPr>
      </w:pPr>
      <w:r>
        <w:rPr>
          <w:rFonts w:ascii="Segoe UI" w:hAnsi="Segoe UI" w:cs="Segoe UI"/>
        </w:rPr>
        <w:t>Guided Pathways, AB705,</w:t>
      </w:r>
      <w:r w:rsidR="00D8373E">
        <w:rPr>
          <w:rFonts w:ascii="Segoe UI" w:hAnsi="Segoe UI" w:cs="Segoe UI"/>
        </w:rPr>
        <w:t xml:space="preserve"> or the Student-Centered</w:t>
      </w:r>
      <w:r>
        <w:rPr>
          <w:rFonts w:ascii="Segoe UI" w:hAnsi="Segoe UI" w:cs="Segoe UI"/>
        </w:rPr>
        <w:t xml:space="preserve"> Funding Formula</w:t>
      </w:r>
      <w:r w:rsidR="00D8373E">
        <w:rPr>
          <w:rFonts w:ascii="Segoe UI" w:hAnsi="Segoe UI" w:cs="Segoe UI"/>
        </w:rPr>
        <w:t xml:space="preserve"> (SCFF)</w:t>
      </w:r>
    </w:p>
    <w:tbl>
      <w:tblPr>
        <w:tblStyle w:val="TableGrid"/>
        <w:tblW w:w="9178" w:type="dxa"/>
        <w:tblLook w:val="04A0" w:firstRow="1" w:lastRow="0" w:firstColumn="1" w:lastColumn="0" w:noHBand="0" w:noVBand="1"/>
      </w:tblPr>
      <w:tblGrid>
        <w:gridCol w:w="9178"/>
      </w:tblGrid>
      <w:tr w:rsidR="00E34E09" w:rsidRPr="00E34E09" w14:paraId="06A2DDD5" w14:textId="77777777" w:rsidTr="001408D7">
        <w:trPr>
          <w:trHeight w:val="1220"/>
        </w:trPr>
        <w:tc>
          <w:tcPr>
            <w:tcW w:w="9178" w:type="dxa"/>
          </w:tcPr>
          <w:p w14:paraId="2EA238C3" w14:textId="017326FF" w:rsidR="00E34E09" w:rsidRDefault="00E34E09" w:rsidP="002C0B40">
            <w:pPr>
              <w:rPr>
                <w:rFonts w:ascii="Times New Roman" w:hAnsi="Times New Roman" w:cs="Times New Roman"/>
                <w:sz w:val="24"/>
                <w:szCs w:val="24"/>
              </w:rPr>
            </w:pPr>
          </w:p>
          <w:p w14:paraId="39ABAEBF" w14:textId="6D3A9C0C" w:rsidR="00C0122A" w:rsidRDefault="00C0122A" w:rsidP="002C0B40">
            <w:pPr>
              <w:rPr>
                <w:rFonts w:ascii="Times New Roman" w:hAnsi="Times New Roman" w:cs="Times New Roman"/>
                <w:sz w:val="24"/>
                <w:szCs w:val="24"/>
              </w:rPr>
            </w:pPr>
            <w:r>
              <w:rPr>
                <w:rFonts w:ascii="Times New Roman" w:hAnsi="Times New Roman" w:cs="Times New Roman"/>
                <w:sz w:val="24"/>
                <w:szCs w:val="24"/>
              </w:rPr>
              <w:t xml:space="preserve">The new Health Services Coordinator was involved in the Guided Pathways Taskforce in previous work at a Peralta institution and is looking forward to utilizing past knowledge to listen to College of Alameda student voices and feedback regarding health services. The department will continue to strategize while creating program goals and student learning outcomes that will ensure student success.  There will be a focus on creating student surveys in order to support retention and best meet each student’s educational goals. </w:t>
            </w:r>
          </w:p>
          <w:p w14:paraId="7AD6DBC5" w14:textId="77777777" w:rsidR="00C0122A" w:rsidRPr="00E34E09" w:rsidRDefault="00C0122A" w:rsidP="002C0B40">
            <w:pPr>
              <w:rPr>
                <w:rFonts w:ascii="Times New Roman" w:hAnsi="Times New Roman" w:cs="Times New Roman"/>
                <w:sz w:val="24"/>
                <w:szCs w:val="24"/>
              </w:rPr>
            </w:pPr>
          </w:p>
          <w:p w14:paraId="3EE409FD" w14:textId="4D5FF1D2" w:rsidR="00EB1C77" w:rsidRPr="00EB1C77" w:rsidRDefault="00EB1C77" w:rsidP="002C0B40">
            <w:pPr>
              <w:rPr>
                <w:rFonts w:ascii="Times New Roman" w:hAnsi="Times New Roman" w:cs="Times New Roman"/>
                <w:sz w:val="24"/>
                <w:szCs w:val="24"/>
                <w:highlight w:val="magenta"/>
              </w:rPr>
            </w:pPr>
          </w:p>
          <w:p w14:paraId="74CCE6FE" w14:textId="73C69914" w:rsidR="00EB1C77" w:rsidRPr="00EB1C77" w:rsidRDefault="00EB1C77" w:rsidP="002C0B40">
            <w:pPr>
              <w:rPr>
                <w:rFonts w:ascii="Times New Roman" w:hAnsi="Times New Roman" w:cs="Times New Roman"/>
                <w:sz w:val="24"/>
                <w:szCs w:val="24"/>
                <w:highlight w:val="magenta"/>
              </w:rPr>
            </w:pPr>
          </w:p>
          <w:p w14:paraId="2BD4DAD8" w14:textId="77777777" w:rsidR="00E34E09" w:rsidRPr="00E34E09" w:rsidRDefault="00E34E09" w:rsidP="002C0B40">
            <w:pPr>
              <w:rPr>
                <w:rFonts w:ascii="Times New Roman" w:hAnsi="Times New Roman" w:cs="Times New Roman"/>
                <w:sz w:val="24"/>
                <w:szCs w:val="24"/>
              </w:rPr>
            </w:pPr>
          </w:p>
          <w:p w14:paraId="626C1276" w14:textId="77777777" w:rsidR="00E34E09" w:rsidRPr="00E34E09" w:rsidRDefault="00E34E09" w:rsidP="002C0B40">
            <w:pPr>
              <w:rPr>
                <w:rFonts w:ascii="Times New Roman" w:hAnsi="Times New Roman" w:cs="Times New Roman"/>
                <w:sz w:val="24"/>
                <w:szCs w:val="24"/>
              </w:rPr>
            </w:pPr>
          </w:p>
          <w:p w14:paraId="5F595F38" w14:textId="77777777" w:rsidR="00E34E09" w:rsidRPr="00E34E09" w:rsidRDefault="00E34E09" w:rsidP="002C0B40">
            <w:pPr>
              <w:rPr>
                <w:rFonts w:ascii="Times New Roman" w:hAnsi="Times New Roman" w:cs="Times New Roman"/>
                <w:sz w:val="24"/>
                <w:szCs w:val="24"/>
              </w:rPr>
            </w:pPr>
          </w:p>
          <w:p w14:paraId="34143786" w14:textId="7B6A739C" w:rsidR="00E34E09" w:rsidRPr="00E34E09" w:rsidRDefault="00E34E09" w:rsidP="002C0B40">
            <w:pPr>
              <w:rPr>
                <w:rFonts w:ascii="Times New Roman" w:hAnsi="Times New Roman" w:cs="Times New Roman"/>
                <w:sz w:val="24"/>
                <w:szCs w:val="24"/>
              </w:rPr>
            </w:pPr>
          </w:p>
        </w:tc>
      </w:tr>
    </w:tbl>
    <w:p w14:paraId="3124F92A" w14:textId="77777777" w:rsidR="00E34E09" w:rsidRDefault="00E34E09" w:rsidP="00E34E09">
      <w:pPr>
        <w:rPr>
          <w:rFonts w:ascii="Segoe UI" w:hAnsi="Segoe UI" w:cs="Segoe UI"/>
          <w:sz w:val="20"/>
          <w:szCs w:val="20"/>
        </w:rPr>
      </w:pPr>
    </w:p>
    <w:p w14:paraId="13CE970F" w14:textId="29D41F79" w:rsidR="001408D7" w:rsidRPr="00A75707" w:rsidRDefault="001408D7" w:rsidP="001408D7">
      <w:pPr>
        <w:jc w:val="left"/>
        <w:rPr>
          <w:rFonts w:ascii="Segoe UI" w:hAnsi="Segoe UI" w:cs="Segoe UI"/>
        </w:rPr>
      </w:pPr>
      <w:r>
        <w:rPr>
          <w:rFonts w:ascii="Segoe UI" w:hAnsi="Segoe UI" w:cs="Segoe UI"/>
        </w:rPr>
        <w:t>A</w:t>
      </w:r>
      <w:r w:rsidRPr="00CA17E0">
        <w:rPr>
          <w:rFonts w:ascii="Segoe UI" w:hAnsi="Segoe UI" w:cs="Segoe UI"/>
        </w:rPr>
        <w:t>dvisory board recommendations</w:t>
      </w:r>
    </w:p>
    <w:tbl>
      <w:tblPr>
        <w:tblStyle w:val="TableGrid"/>
        <w:tblW w:w="9178" w:type="dxa"/>
        <w:tblLook w:val="04A0" w:firstRow="1" w:lastRow="0" w:firstColumn="1" w:lastColumn="0" w:noHBand="0" w:noVBand="1"/>
      </w:tblPr>
      <w:tblGrid>
        <w:gridCol w:w="9178"/>
      </w:tblGrid>
      <w:tr w:rsidR="001408D7" w:rsidRPr="00E34E09" w14:paraId="4AAE5572" w14:textId="77777777" w:rsidTr="002C0B40">
        <w:trPr>
          <w:trHeight w:val="1220"/>
        </w:trPr>
        <w:tc>
          <w:tcPr>
            <w:tcW w:w="9178" w:type="dxa"/>
          </w:tcPr>
          <w:p w14:paraId="4CCD749F" w14:textId="7C815A70" w:rsidR="001408D7" w:rsidRDefault="001408D7" w:rsidP="002C0B40">
            <w:pPr>
              <w:rPr>
                <w:rFonts w:ascii="Times New Roman" w:hAnsi="Times New Roman" w:cs="Times New Roman"/>
                <w:sz w:val="24"/>
                <w:szCs w:val="24"/>
              </w:rPr>
            </w:pPr>
          </w:p>
          <w:p w14:paraId="0977720D" w14:textId="06888640" w:rsidR="00C0122A" w:rsidRPr="00E34E09" w:rsidRDefault="00C0122A" w:rsidP="002C0B40">
            <w:pPr>
              <w:rPr>
                <w:rFonts w:ascii="Times New Roman" w:hAnsi="Times New Roman" w:cs="Times New Roman"/>
                <w:sz w:val="24"/>
                <w:szCs w:val="24"/>
              </w:rPr>
            </w:pPr>
            <w:r>
              <w:rPr>
                <w:rFonts w:ascii="Times New Roman" w:hAnsi="Times New Roman" w:cs="Times New Roman"/>
                <w:sz w:val="24"/>
                <w:szCs w:val="24"/>
              </w:rPr>
              <w:t>There is currently no advisory board, however; there is a monthly district health services committee meeting where there is advice and expertise given by the Director of Health Services. In addition to the monthly meeting, the Health Services Coordinator participates in a weekly meeting with counterparts at the other Peralta Colleges to discuss best practices, programming ideas, and law/ethics considerations in providing mental health counseling.</w:t>
            </w:r>
          </w:p>
          <w:p w14:paraId="00FFD128" w14:textId="77777777" w:rsidR="001408D7" w:rsidRPr="00E34E09" w:rsidRDefault="001408D7" w:rsidP="002C0B40">
            <w:pPr>
              <w:rPr>
                <w:rFonts w:ascii="Times New Roman" w:hAnsi="Times New Roman" w:cs="Times New Roman"/>
                <w:sz w:val="24"/>
                <w:szCs w:val="24"/>
              </w:rPr>
            </w:pPr>
          </w:p>
          <w:p w14:paraId="71079364" w14:textId="77777777" w:rsidR="001408D7" w:rsidRPr="00E34E09" w:rsidRDefault="001408D7" w:rsidP="002C0B40">
            <w:pPr>
              <w:rPr>
                <w:rFonts w:ascii="Times New Roman" w:hAnsi="Times New Roman" w:cs="Times New Roman"/>
                <w:sz w:val="24"/>
                <w:szCs w:val="24"/>
              </w:rPr>
            </w:pPr>
          </w:p>
        </w:tc>
      </w:tr>
    </w:tbl>
    <w:p w14:paraId="79FA1822" w14:textId="4BAC0552" w:rsidR="001408D7" w:rsidRPr="00A75707" w:rsidRDefault="00D8373E" w:rsidP="001408D7">
      <w:pPr>
        <w:jc w:val="left"/>
        <w:rPr>
          <w:rFonts w:ascii="Segoe UI" w:hAnsi="Segoe UI" w:cs="Segoe UI"/>
        </w:rPr>
      </w:pPr>
      <w:r>
        <w:rPr>
          <w:rFonts w:ascii="Segoe UI" w:hAnsi="Segoe UI" w:cs="Segoe UI"/>
        </w:rPr>
        <w:t xml:space="preserve">Impact of </w:t>
      </w:r>
      <w:r w:rsidR="001408D7">
        <w:rPr>
          <w:rFonts w:ascii="Segoe UI" w:hAnsi="Segoe UI" w:cs="Segoe UI"/>
        </w:rPr>
        <w:t>COVID-19</w:t>
      </w:r>
    </w:p>
    <w:tbl>
      <w:tblPr>
        <w:tblStyle w:val="TableGrid"/>
        <w:tblW w:w="9178" w:type="dxa"/>
        <w:tblLook w:val="04A0" w:firstRow="1" w:lastRow="0" w:firstColumn="1" w:lastColumn="0" w:noHBand="0" w:noVBand="1"/>
      </w:tblPr>
      <w:tblGrid>
        <w:gridCol w:w="9178"/>
      </w:tblGrid>
      <w:tr w:rsidR="001408D7" w:rsidRPr="00E34E09" w14:paraId="13962D89" w14:textId="77777777" w:rsidTr="002C0B40">
        <w:trPr>
          <w:trHeight w:val="1220"/>
        </w:trPr>
        <w:tc>
          <w:tcPr>
            <w:tcW w:w="9178" w:type="dxa"/>
          </w:tcPr>
          <w:p w14:paraId="4796545F" w14:textId="77777777" w:rsidR="00AF5B26" w:rsidRDefault="00AF5B26" w:rsidP="002C0B40">
            <w:pPr>
              <w:rPr>
                <w:rFonts w:ascii="Times New Roman" w:hAnsi="Times New Roman" w:cs="Times New Roman"/>
                <w:sz w:val="24"/>
                <w:szCs w:val="24"/>
              </w:rPr>
            </w:pPr>
          </w:p>
          <w:p w14:paraId="68690934" w14:textId="5F4A7C7B" w:rsidR="001408D7" w:rsidRPr="00E34E09" w:rsidRDefault="00C0122A" w:rsidP="002C0B40">
            <w:pPr>
              <w:rPr>
                <w:rFonts w:ascii="Times New Roman" w:hAnsi="Times New Roman" w:cs="Times New Roman"/>
                <w:sz w:val="24"/>
                <w:szCs w:val="24"/>
              </w:rPr>
            </w:pPr>
            <w:r>
              <w:rPr>
                <w:rFonts w:ascii="Times New Roman" w:hAnsi="Times New Roman" w:cs="Times New Roman"/>
                <w:sz w:val="24"/>
                <w:szCs w:val="24"/>
              </w:rPr>
              <w:t xml:space="preserve">There has been an increase in the need for mental health services over the past several years, and the impact of COVID-19 has been especially devastating for our students. There has been an increase in the severity of symptoms (severe depression, severe social anxiety, trauma concerns, </w:t>
            </w:r>
            <w:r w:rsidR="00AF5B26">
              <w:rPr>
                <w:rFonts w:ascii="Times New Roman" w:hAnsi="Times New Roman" w:cs="Times New Roman"/>
                <w:sz w:val="24"/>
                <w:szCs w:val="24"/>
              </w:rPr>
              <w:t>etc.</w:t>
            </w:r>
            <w:r>
              <w:rPr>
                <w:rFonts w:ascii="Times New Roman" w:hAnsi="Times New Roman" w:cs="Times New Roman"/>
                <w:sz w:val="24"/>
                <w:szCs w:val="24"/>
              </w:rPr>
              <w:t xml:space="preserve">), as well as an increase in food and housing insecurities. There has also been a noticeable shortage of community mental health referrals with availability.  One student, for example, called CoA to request an appointment after calling 20 therapists on an insurance panel that had no openings and no option for a waitlist.  Mental health access was an issue before the pandemic, and now the need for access and culturally responsive services has been illuminated and will continue to grow. </w:t>
            </w:r>
          </w:p>
          <w:p w14:paraId="20931198" w14:textId="77777777" w:rsidR="001408D7" w:rsidRPr="00E34E09" w:rsidRDefault="001408D7" w:rsidP="002C0B40">
            <w:pPr>
              <w:rPr>
                <w:rFonts w:ascii="Times New Roman" w:hAnsi="Times New Roman" w:cs="Times New Roman"/>
                <w:sz w:val="24"/>
                <w:szCs w:val="24"/>
              </w:rPr>
            </w:pPr>
          </w:p>
          <w:p w14:paraId="4516B7CE" w14:textId="77777777" w:rsidR="001408D7" w:rsidRPr="00E34E09" w:rsidRDefault="001408D7" w:rsidP="002C0B40">
            <w:pPr>
              <w:rPr>
                <w:rFonts w:ascii="Times New Roman" w:hAnsi="Times New Roman" w:cs="Times New Roman"/>
                <w:sz w:val="24"/>
                <w:szCs w:val="24"/>
              </w:rPr>
            </w:pPr>
          </w:p>
        </w:tc>
      </w:tr>
    </w:tbl>
    <w:p w14:paraId="7C399A69" w14:textId="3B310DBF" w:rsidR="00CA17E0" w:rsidRDefault="00CA17E0" w:rsidP="00425484">
      <w:pPr>
        <w:rPr>
          <w:rFonts w:ascii="Segoe UI" w:hAnsi="Segoe UI" w:cs="Segoe UI"/>
          <w:b/>
          <w:u w:val="single"/>
        </w:rPr>
      </w:pPr>
    </w:p>
    <w:p w14:paraId="1E2D65F0" w14:textId="005B2DE6" w:rsidR="00A603DE" w:rsidRDefault="00A603DE" w:rsidP="00E34E09">
      <w:pPr>
        <w:rPr>
          <w:rFonts w:ascii="Segoe UI" w:hAnsi="Segoe UI" w:cs="Segoe UI"/>
          <w:b/>
          <w:u w:val="single"/>
        </w:rPr>
      </w:pPr>
      <w:r w:rsidRPr="00A603DE">
        <w:rPr>
          <w:rFonts w:ascii="Segoe UI" w:hAnsi="Segoe UI" w:cs="Segoe UI"/>
          <w:b/>
          <w:u w:val="single"/>
        </w:rPr>
        <w:t>Data Analysis</w:t>
      </w:r>
    </w:p>
    <w:p w14:paraId="144A7CEA" w14:textId="145C537B" w:rsidR="00366642" w:rsidRDefault="00366642" w:rsidP="00366642">
      <w:pPr>
        <w:jc w:val="center"/>
        <w:rPr>
          <w:rFonts w:ascii="Segoe UI" w:hAnsi="Segoe UI" w:cs="Segoe UI"/>
          <w:b/>
          <w:bCs/>
          <w:color w:val="FF0000"/>
        </w:rPr>
      </w:pPr>
      <w:r>
        <w:rPr>
          <w:noProof/>
        </w:rPr>
        <w:drawing>
          <wp:inline distT="0" distB="0" distL="0" distR="0" wp14:anchorId="73F39BEA" wp14:editId="63B1533F">
            <wp:extent cx="36480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48075" cy="2619375"/>
                    </a:xfrm>
                    <a:prstGeom prst="rect">
                      <a:avLst/>
                    </a:prstGeom>
                  </pic:spPr>
                </pic:pic>
              </a:graphicData>
            </a:graphic>
          </wp:inline>
        </w:drawing>
      </w:r>
    </w:p>
    <w:p w14:paraId="05AD3585" w14:textId="1EA0A79A" w:rsidR="00A603DE" w:rsidRDefault="00A603DE" w:rsidP="00A603DE">
      <w:pPr>
        <w:rPr>
          <w:rFonts w:ascii="Segoe UI" w:hAnsi="Segoe UI" w:cs="Segoe UI"/>
        </w:rPr>
      </w:pPr>
      <w:r w:rsidRPr="005A4E46">
        <w:rPr>
          <w:rFonts w:ascii="Segoe UI" w:hAnsi="Segoe UI" w:cs="Segoe UI"/>
        </w:rPr>
        <w:t xml:space="preserve">Consider your </w:t>
      </w:r>
      <w:r>
        <w:rPr>
          <w:rFonts w:ascii="Segoe UI" w:hAnsi="Segoe UI" w:cs="Segoe UI"/>
        </w:rPr>
        <w:t xml:space="preserve">program’s </w:t>
      </w:r>
      <w:r w:rsidRPr="005A4E46">
        <w:rPr>
          <w:rFonts w:ascii="Segoe UI" w:hAnsi="Segoe UI" w:cs="Segoe UI"/>
        </w:rPr>
        <w:t xml:space="preserve">course completion rates over the past three </w:t>
      </w:r>
      <w:r>
        <w:rPr>
          <w:rFonts w:ascii="Segoe UI" w:hAnsi="Segoe UI" w:cs="Segoe UI"/>
        </w:rPr>
        <w:t xml:space="preserve">to five </w:t>
      </w:r>
      <w:r w:rsidRPr="005A4E46">
        <w:rPr>
          <w:rFonts w:ascii="Segoe UI" w:hAnsi="Segoe UI" w:cs="Segoe UI"/>
        </w:rPr>
        <w:t>years (% of student who earned a grade of "C" or better).</w:t>
      </w:r>
    </w:p>
    <w:p w14:paraId="2CFD2393" w14:textId="7E38A6F3" w:rsidR="00A603DE" w:rsidRPr="005A4E46" w:rsidRDefault="00A603DE" w:rsidP="00A603DE">
      <w:pPr>
        <w:rPr>
          <w:rFonts w:ascii="Segoe UI" w:hAnsi="Segoe UI" w:cs="Segoe UI"/>
        </w:rPr>
      </w:pPr>
      <w:r w:rsidRPr="005A4E46">
        <w:rPr>
          <w:rFonts w:ascii="Segoe UI" w:hAnsi="Segoe UI" w:cs="Segoe UI"/>
        </w:rPr>
        <w:lastRenderedPageBreak/>
        <w:t xml:space="preserve">How do the course completion rates for your program or discipline compare to your college's </w:t>
      </w:r>
      <w:r w:rsidR="007B0D49">
        <w:rPr>
          <w:rFonts w:ascii="Segoe UI" w:hAnsi="Segoe UI" w:cs="Segoe UI"/>
        </w:rPr>
        <w:t>College</w:t>
      </w:r>
      <w:r w:rsidRPr="005A4E46">
        <w:rPr>
          <w:rFonts w:ascii="Segoe UI" w:hAnsi="Segoe UI" w:cs="Segoe UI"/>
        </w:rPr>
        <w:t>-Set Standard for course completion</w:t>
      </w:r>
      <w:r>
        <w:rPr>
          <w:rFonts w:ascii="Segoe UI" w:hAnsi="Segoe UI" w:cs="Segoe UI"/>
        </w:rPr>
        <w:t xml:space="preserve"> of </w:t>
      </w:r>
      <w:r w:rsidRPr="00F35F07">
        <w:rPr>
          <w:rFonts w:ascii="Segoe UI" w:hAnsi="Segoe UI" w:cs="Segoe UI"/>
          <w:b/>
          <w:bCs/>
        </w:rPr>
        <w:t>67%</w:t>
      </w:r>
      <w:r>
        <w:rPr>
          <w:rFonts w:ascii="Segoe UI" w:hAnsi="Segoe UI" w:cs="Segoe UI"/>
        </w:rPr>
        <w:t>?</w:t>
      </w:r>
    </w:p>
    <w:tbl>
      <w:tblPr>
        <w:tblStyle w:val="TableGrid"/>
        <w:tblW w:w="9469" w:type="dxa"/>
        <w:tblLook w:val="04A0" w:firstRow="1" w:lastRow="0" w:firstColumn="1" w:lastColumn="0" w:noHBand="0" w:noVBand="1"/>
      </w:tblPr>
      <w:tblGrid>
        <w:gridCol w:w="9469"/>
      </w:tblGrid>
      <w:tr w:rsidR="00A603DE" w:rsidRPr="00860EE3" w14:paraId="60E36F6B" w14:textId="77777777" w:rsidTr="00A603DE">
        <w:trPr>
          <w:trHeight w:val="1472"/>
        </w:trPr>
        <w:tc>
          <w:tcPr>
            <w:tcW w:w="9469" w:type="dxa"/>
          </w:tcPr>
          <w:p w14:paraId="693EE87E" w14:textId="77777777" w:rsidR="00A22E68" w:rsidRPr="00F91358" w:rsidRDefault="00A22E68" w:rsidP="002C0B40">
            <w:pPr>
              <w:rPr>
                <w:rFonts w:ascii="Times New Roman" w:hAnsi="Times New Roman" w:cs="Times New Roman"/>
                <w:sz w:val="24"/>
                <w:szCs w:val="24"/>
                <w:highlight w:val="magenta"/>
              </w:rPr>
            </w:pPr>
          </w:p>
          <w:p w14:paraId="773DCE80" w14:textId="725EB020" w:rsidR="00A603DE" w:rsidRPr="00860EE3" w:rsidRDefault="00F91358" w:rsidP="002C0B40">
            <w:pPr>
              <w:rPr>
                <w:rFonts w:ascii="Times New Roman" w:hAnsi="Times New Roman" w:cs="Times New Roman"/>
                <w:sz w:val="24"/>
                <w:szCs w:val="24"/>
              </w:rPr>
            </w:pPr>
            <w:r>
              <w:rPr>
                <w:rFonts w:ascii="Times New Roman" w:hAnsi="Times New Roman" w:cs="Times New Roman"/>
                <w:sz w:val="24"/>
                <w:szCs w:val="24"/>
              </w:rPr>
              <w:t>The course completion rate in 2020 for the subpopulation is 84%. The college course completion rate for 2020</w:t>
            </w:r>
            <w:r w:rsidR="00880E7E">
              <w:rPr>
                <w:rFonts w:ascii="Times New Roman" w:hAnsi="Times New Roman" w:cs="Times New Roman"/>
                <w:sz w:val="24"/>
                <w:szCs w:val="24"/>
              </w:rPr>
              <w:t xml:space="preserve"> is 78%.  Data suggests that students who received support or direct services from Health Services have higher course completion rates in 2020.</w:t>
            </w:r>
          </w:p>
          <w:p w14:paraId="30CA6DCF" w14:textId="2460E009" w:rsidR="00F65390" w:rsidRPr="00860EE3" w:rsidRDefault="00F65390" w:rsidP="00133AAB">
            <w:pPr>
              <w:rPr>
                <w:rFonts w:ascii="Times New Roman" w:hAnsi="Times New Roman" w:cs="Times New Roman"/>
                <w:sz w:val="24"/>
                <w:szCs w:val="24"/>
              </w:rPr>
            </w:pPr>
          </w:p>
        </w:tc>
      </w:tr>
    </w:tbl>
    <w:p w14:paraId="1036582E" w14:textId="77777777" w:rsidR="00A603DE" w:rsidRPr="005A4E46" w:rsidRDefault="00A603DE" w:rsidP="00A603DE">
      <w:pPr>
        <w:rPr>
          <w:rFonts w:ascii="Segoe UI" w:hAnsi="Segoe UI" w:cs="Segoe UI"/>
        </w:rPr>
      </w:pPr>
    </w:p>
    <w:p w14:paraId="5D5C5C7A" w14:textId="41CC4CD7" w:rsidR="00A603DE" w:rsidRDefault="00A603DE" w:rsidP="004C7A75">
      <w:pPr>
        <w:jc w:val="left"/>
        <w:rPr>
          <w:rFonts w:ascii="Segoe UI" w:hAnsi="Segoe UI" w:cs="Segoe UI"/>
        </w:rPr>
      </w:pPr>
      <w:r>
        <w:rPr>
          <w:rFonts w:ascii="Segoe UI" w:hAnsi="Segoe UI" w:cs="Segoe UI"/>
        </w:rPr>
        <w:t xml:space="preserve">On average the course retention rate (number of students are retained in the course) for College of Alameda has been </w:t>
      </w:r>
      <w:r w:rsidRPr="00F35F07">
        <w:rPr>
          <w:rFonts w:ascii="Segoe UI" w:hAnsi="Segoe UI" w:cs="Segoe UI"/>
          <w:b/>
          <w:bCs/>
        </w:rPr>
        <w:t>85%</w:t>
      </w:r>
      <w:r>
        <w:rPr>
          <w:rFonts w:ascii="Segoe UI" w:hAnsi="Segoe UI" w:cs="Segoe UI"/>
        </w:rPr>
        <w:t xml:space="preserve"> for the past three years. Examine </w:t>
      </w:r>
      <w:r w:rsidRPr="005A4E46">
        <w:rPr>
          <w:rFonts w:ascii="Segoe UI" w:hAnsi="Segoe UI" w:cs="Segoe UI"/>
        </w:rPr>
        <w:t>the course retention rates</w:t>
      </w:r>
      <w:r>
        <w:rPr>
          <w:rFonts w:ascii="Segoe UI" w:hAnsi="Segoe UI" w:cs="Segoe UI"/>
        </w:rPr>
        <w:t xml:space="preserve"> for your program</w:t>
      </w:r>
      <w:r w:rsidRPr="005A4E46">
        <w:rPr>
          <w:rFonts w:ascii="Segoe UI" w:hAnsi="Segoe UI" w:cs="Segoe UI"/>
        </w:rPr>
        <w:t xml:space="preserve"> over the last three years. </w:t>
      </w:r>
      <w:r>
        <w:rPr>
          <w:rFonts w:ascii="Segoe UI" w:hAnsi="Segoe UI" w:cs="Segoe UI"/>
        </w:rPr>
        <w:t>How does</w:t>
      </w:r>
      <w:r w:rsidRPr="005A4E46">
        <w:rPr>
          <w:rFonts w:ascii="Segoe UI" w:hAnsi="Segoe UI" w:cs="Segoe UI"/>
        </w:rPr>
        <w:t xml:space="preserve"> your program or discipline course retention rates compare to the </w:t>
      </w:r>
      <w:r>
        <w:rPr>
          <w:rFonts w:ascii="Segoe UI" w:hAnsi="Segoe UI" w:cs="Segoe UI"/>
        </w:rPr>
        <w:t>college?</w:t>
      </w:r>
    </w:p>
    <w:p w14:paraId="55ACA361" w14:textId="5B04A0D2" w:rsidR="00366642" w:rsidRDefault="00366642" w:rsidP="004C7A75">
      <w:pPr>
        <w:jc w:val="left"/>
        <w:rPr>
          <w:rFonts w:ascii="Segoe UI" w:hAnsi="Segoe UI" w:cs="Segoe UI"/>
        </w:rPr>
      </w:pPr>
    </w:p>
    <w:p w14:paraId="5B9A774C" w14:textId="17FB533B" w:rsidR="00366642" w:rsidRPr="005A4E46" w:rsidRDefault="00366642" w:rsidP="00366642">
      <w:pPr>
        <w:jc w:val="center"/>
        <w:rPr>
          <w:rFonts w:ascii="Segoe UI" w:hAnsi="Segoe UI" w:cs="Segoe UI"/>
        </w:rPr>
      </w:pPr>
      <w:r>
        <w:rPr>
          <w:noProof/>
        </w:rPr>
        <w:drawing>
          <wp:inline distT="0" distB="0" distL="0" distR="0" wp14:anchorId="1FB4C398" wp14:editId="74C06ACB">
            <wp:extent cx="3657600" cy="2505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7600" cy="2505075"/>
                    </a:xfrm>
                    <a:prstGeom prst="rect">
                      <a:avLst/>
                    </a:prstGeom>
                  </pic:spPr>
                </pic:pic>
              </a:graphicData>
            </a:graphic>
          </wp:inline>
        </w:drawing>
      </w:r>
    </w:p>
    <w:tbl>
      <w:tblPr>
        <w:tblStyle w:val="TableGrid"/>
        <w:tblW w:w="9304" w:type="dxa"/>
        <w:tblLook w:val="04A0" w:firstRow="1" w:lastRow="0" w:firstColumn="1" w:lastColumn="0" w:noHBand="0" w:noVBand="1"/>
      </w:tblPr>
      <w:tblGrid>
        <w:gridCol w:w="9304"/>
      </w:tblGrid>
      <w:tr w:rsidR="00A603DE" w:rsidRPr="00860EE3" w14:paraId="36F56006" w14:textId="77777777" w:rsidTr="002C0B40">
        <w:trPr>
          <w:trHeight w:val="2098"/>
        </w:trPr>
        <w:tc>
          <w:tcPr>
            <w:tcW w:w="9304" w:type="dxa"/>
          </w:tcPr>
          <w:p w14:paraId="58B1044D" w14:textId="77777777" w:rsidR="00AF5B26" w:rsidRDefault="00AF5B26" w:rsidP="002C0B40">
            <w:pPr>
              <w:rPr>
                <w:rFonts w:ascii="Times New Roman" w:hAnsi="Times New Roman" w:cs="Times New Roman"/>
                <w:sz w:val="24"/>
                <w:szCs w:val="24"/>
              </w:rPr>
            </w:pPr>
          </w:p>
          <w:p w14:paraId="3B54956E" w14:textId="6D2FAA9C" w:rsidR="00A603DE" w:rsidRPr="00860EE3" w:rsidRDefault="00480605" w:rsidP="002C0B40">
            <w:pPr>
              <w:rPr>
                <w:rFonts w:ascii="Times New Roman" w:hAnsi="Times New Roman" w:cs="Times New Roman"/>
                <w:sz w:val="24"/>
                <w:szCs w:val="24"/>
              </w:rPr>
            </w:pPr>
            <w:r>
              <w:rPr>
                <w:rFonts w:ascii="Times New Roman" w:hAnsi="Times New Roman" w:cs="Times New Roman"/>
                <w:sz w:val="24"/>
                <w:szCs w:val="24"/>
              </w:rPr>
              <w:t>The course retention rate in 2020 for the subpopulation is 90% compared to the college course retention rate of 87%. Data suggests that students who received support or direct services from Health Services have higher retention rates in 2020.</w:t>
            </w:r>
          </w:p>
        </w:tc>
      </w:tr>
    </w:tbl>
    <w:p w14:paraId="05EB3A01" w14:textId="77777777" w:rsidR="00707472" w:rsidRDefault="00707472" w:rsidP="004C7A75">
      <w:pPr>
        <w:rPr>
          <w:rFonts w:ascii="Segoe UI" w:hAnsi="Segoe UI" w:cs="Segoe UI"/>
          <w:b/>
          <w:bCs/>
        </w:rPr>
      </w:pPr>
    </w:p>
    <w:p w14:paraId="25212669" w14:textId="2F86B785" w:rsidR="004C7A75" w:rsidRDefault="00707472" w:rsidP="004C7A75">
      <w:pPr>
        <w:rPr>
          <w:rFonts w:ascii="Segoe UI" w:hAnsi="Segoe UI" w:cs="Segoe UI"/>
          <w:b/>
          <w:bCs/>
        </w:rPr>
      </w:pPr>
      <w:r>
        <w:rPr>
          <w:rFonts w:ascii="Segoe UI" w:hAnsi="Segoe UI" w:cs="Segoe UI"/>
          <w:b/>
          <w:bCs/>
        </w:rPr>
        <w:t>Equity</w:t>
      </w:r>
    </w:p>
    <w:p w14:paraId="03CB4185" w14:textId="03E62339" w:rsidR="004C7A75" w:rsidRDefault="004C7A75" w:rsidP="00751AB6">
      <w:pPr>
        <w:jc w:val="left"/>
        <w:rPr>
          <w:rFonts w:ascii="Segoe UI" w:hAnsi="Segoe UI" w:cs="Segoe UI"/>
        </w:rPr>
      </w:pPr>
      <w:r w:rsidRPr="0081324D">
        <w:rPr>
          <w:rFonts w:ascii="Segoe UI" w:hAnsi="Segoe UI" w:cs="Segoe UI"/>
        </w:rPr>
        <w:t>College of Alameda continues to focus on access, equity, and success. The goal is to create an inclusive environment where all students can thrive and meet their education and career goals.</w:t>
      </w:r>
      <w:r w:rsidR="00707472">
        <w:rPr>
          <w:rFonts w:ascii="Segoe UI" w:hAnsi="Segoe UI" w:cs="Segoe UI"/>
        </w:rPr>
        <w:t xml:space="preserve"> In 2019 the Student Service Equity team </w:t>
      </w:r>
      <w:hyperlink r:id="rId14" w:history="1">
        <w:r w:rsidR="00707472" w:rsidRPr="00DE33D4">
          <w:rPr>
            <w:rStyle w:val="Hyperlink"/>
            <w:rFonts w:ascii="Segoe UI" w:hAnsi="Segoe UI" w:cs="Segoe UI"/>
          </w:rPr>
          <w:t>analyzed data</w:t>
        </w:r>
      </w:hyperlink>
      <w:r w:rsidR="00707472">
        <w:rPr>
          <w:rFonts w:ascii="Segoe UI" w:hAnsi="Segoe UI" w:cs="Segoe UI"/>
        </w:rPr>
        <w:t xml:space="preserve"> to identify groups that were </w:t>
      </w:r>
      <w:r w:rsidR="00707472">
        <w:rPr>
          <w:rFonts w:ascii="Segoe UI" w:hAnsi="Segoe UI" w:cs="Segoe UI"/>
        </w:rPr>
        <w:lastRenderedPageBreak/>
        <w:t>disproportionately impacted</w:t>
      </w:r>
      <w:r w:rsidR="00751AB6">
        <w:rPr>
          <w:rFonts w:ascii="Segoe UI" w:hAnsi="Segoe UI" w:cs="Segoe UI"/>
        </w:rPr>
        <w:t xml:space="preserve"> in access, persistence, transfer rate, completion of transfer level English and Math, and goal completion</w:t>
      </w:r>
      <w:r w:rsidR="00DE33D4">
        <w:rPr>
          <w:rFonts w:ascii="Segoe UI" w:hAnsi="Segoe UI" w:cs="Segoe UI"/>
        </w:rPr>
        <w:t xml:space="preserve">. </w:t>
      </w:r>
    </w:p>
    <w:p w14:paraId="0C989AC0" w14:textId="03B7F34B"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Access:</w:t>
      </w:r>
      <w:r w:rsidRPr="00751AB6">
        <w:rPr>
          <w:rFonts w:ascii="Segoe UI" w:hAnsi="Segoe UI" w:cs="Segoe UI"/>
        </w:rPr>
        <w:t xml:space="preserve"> Black or African American male students enroll at disproportionate rates. Additionally, female Black or African American, disabled and LGBTQIA students enroll at disproportionate rates. </w:t>
      </w:r>
    </w:p>
    <w:p w14:paraId="16378F61" w14:textId="42FD35EC"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Persistence:</w:t>
      </w:r>
      <w:r w:rsidRPr="00751AB6">
        <w:rPr>
          <w:rFonts w:ascii="Segoe UI" w:hAnsi="Segoe UI" w:cs="Segoe UI"/>
        </w:rPr>
        <w:t xml:space="preserve"> Female Black or African American, Latinx, foster youth, LGBTQIA and veteran students are persisting at disproportionate rates. Male Black or African American, foster youth and LGBTQIA students are also persisting at disproportionate rates. The most significant retention equity gap was with male foster youth students. </w:t>
      </w:r>
    </w:p>
    <w:p w14:paraId="2A602087" w14:textId="2D91FCE8"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Transfer to a Four-Year Institution:</w:t>
      </w:r>
      <w:r w:rsidRPr="00751AB6">
        <w:rPr>
          <w:rFonts w:ascii="Segoe UI" w:hAnsi="Segoe UI" w:cs="Segoe UI"/>
        </w:rPr>
        <w:t xml:space="preserve">  </w:t>
      </w:r>
      <w:r w:rsidR="00BF0214">
        <w:rPr>
          <w:rFonts w:ascii="Segoe UI" w:hAnsi="Segoe UI" w:cs="Segoe UI"/>
        </w:rPr>
        <w:t>F</w:t>
      </w:r>
      <w:r w:rsidRPr="00751AB6">
        <w:rPr>
          <w:rFonts w:ascii="Segoe UI" w:hAnsi="Segoe UI" w:cs="Segoe UI"/>
        </w:rPr>
        <w:t xml:space="preserve">emale American Indian or Alaska Native, Native Hawaiian or other Pacific Islander and disabled students transferred at disproportionate rates. American Indian or Alaska Native, Black or African American, Filipino, Latinx, disabled, first generation and foster youth males also transferred at disproportionate rates. </w:t>
      </w:r>
    </w:p>
    <w:p w14:paraId="79F9AE27" w14:textId="64E487DD"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Complete both Transfer-level Math and English within the first year:</w:t>
      </w:r>
      <w:r w:rsidRPr="00751AB6">
        <w:rPr>
          <w:rFonts w:ascii="Segoe UI" w:hAnsi="Segoe UI" w:cs="Segoe UI"/>
        </w:rPr>
        <w:t xml:space="preserve"> </w:t>
      </w:r>
      <w:r w:rsidR="00BF0214">
        <w:rPr>
          <w:rFonts w:ascii="Segoe UI" w:hAnsi="Segoe UI" w:cs="Segoe UI"/>
        </w:rPr>
        <w:t xml:space="preserve">Female </w:t>
      </w:r>
      <w:r w:rsidRPr="00751AB6">
        <w:rPr>
          <w:rFonts w:ascii="Segoe UI" w:hAnsi="Segoe UI" w:cs="Segoe UI"/>
        </w:rPr>
        <w:t xml:space="preserve">foster youth complete both transfer level math and English at disproportionate rates. Additionally, Black or African American, Latinx, disabled, economically disadvantaged, foster youth and LGBTQIA males transfer at disproportionate rates. </w:t>
      </w:r>
    </w:p>
    <w:p w14:paraId="4843AB85" w14:textId="1DF10A52"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Vision 2022 Goal Completion:</w:t>
      </w:r>
      <w:r w:rsidRPr="00751AB6">
        <w:rPr>
          <w:rFonts w:ascii="Segoe UI" w:hAnsi="Segoe UI" w:cs="Segoe UI"/>
        </w:rPr>
        <w:t xml:space="preserve"> Asian, Black or African American, Latinx, foster youth, LGBTQIA, and veteran female students complete at disproportionate rates. American Indian or Alaska Native and LGBTQIA male students are also completing at disproportionate rates.</w:t>
      </w:r>
    </w:p>
    <w:p w14:paraId="2E31A223" w14:textId="5CEB9FF7" w:rsidR="00F75149" w:rsidRDefault="00751AB6" w:rsidP="00751AB6">
      <w:pPr>
        <w:jc w:val="left"/>
        <w:rPr>
          <w:rFonts w:ascii="Segoe UI" w:hAnsi="Segoe UI" w:cs="Segoe UI"/>
        </w:rPr>
      </w:pPr>
      <w:r>
        <w:rPr>
          <w:rFonts w:ascii="Segoe UI" w:hAnsi="Segoe UI" w:cs="Segoe UI"/>
        </w:rPr>
        <w:t xml:space="preserve">Discuss how your program worked to address these equity gaps since 2019.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860EE3" w14:paraId="50B298ED" w14:textId="77777777" w:rsidTr="009E58FA">
        <w:trPr>
          <w:trHeight w:val="1542"/>
        </w:trPr>
        <w:tc>
          <w:tcPr>
            <w:tcW w:w="9364" w:type="dxa"/>
          </w:tcPr>
          <w:p w14:paraId="5DC079BC" w14:textId="77777777" w:rsidR="009B6926" w:rsidRPr="009B6926" w:rsidRDefault="009B6926" w:rsidP="009B6926">
            <w:pPr>
              <w:rPr>
                <w:rFonts w:ascii="Times New Roman" w:hAnsi="Times New Roman" w:cs="Times New Roman"/>
              </w:rPr>
            </w:pPr>
            <w:r w:rsidRPr="009B6926">
              <w:rPr>
                <w:rFonts w:ascii="Times New Roman" w:hAnsi="Times New Roman" w:cs="Times New Roman"/>
                <w:color w:val="000000"/>
                <w:shd w:val="clear" w:color="auto" w:fill="FFFFFF"/>
              </w:rPr>
              <w:t>In terms of ethnicity, the largest group of students served by Health Services are Hispanic/Latinx students, followed by the Asian student population, the students who identify as multi ethnic and Black/African American students.</w:t>
            </w:r>
          </w:p>
          <w:p w14:paraId="2B82D5C3" w14:textId="57D38169" w:rsidR="00F75149" w:rsidRDefault="00F75149" w:rsidP="009E58FA">
            <w:pPr>
              <w:rPr>
                <w:rFonts w:ascii="Times New Roman" w:hAnsi="Times New Roman" w:cs="Times New Roman"/>
                <w:sz w:val="24"/>
                <w:szCs w:val="24"/>
              </w:rPr>
            </w:pPr>
          </w:p>
          <w:tbl>
            <w:tblPr>
              <w:tblW w:w="5040" w:type="dxa"/>
              <w:tblCellMar>
                <w:top w:w="15" w:type="dxa"/>
                <w:bottom w:w="15" w:type="dxa"/>
              </w:tblCellMar>
              <w:tblLook w:val="04A0" w:firstRow="1" w:lastRow="0" w:firstColumn="1" w:lastColumn="0" w:noHBand="0" w:noVBand="1"/>
            </w:tblPr>
            <w:tblGrid>
              <w:gridCol w:w="2740"/>
              <w:gridCol w:w="1353"/>
              <w:gridCol w:w="1040"/>
            </w:tblGrid>
            <w:tr w:rsidR="00585D81" w14:paraId="712888E0" w14:textId="77777777" w:rsidTr="00585D81">
              <w:trPr>
                <w:trHeight w:val="300"/>
              </w:trPr>
              <w:tc>
                <w:tcPr>
                  <w:tcW w:w="2740" w:type="dxa"/>
                  <w:tcBorders>
                    <w:top w:val="nil"/>
                    <w:left w:val="nil"/>
                    <w:bottom w:val="nil"/>
                    <w:right w:val="nil"/>
                  </w:tcBorders>
                  <w:shd w:val="clear" w:color="D9E1F2" w:fill="D9E1F2"/>
                  <w:noWrap/>
                  <w:vAlign w:val="bottom"/>
                  <w:hideMark/>
                </w:tcPr>
                <w:p w14:paraId="20A26D4A" w14:textId="77777777" w:rsidR="00585D81" w:rsidRDefault="00585D81" w:rsidP="00585D81"/>
              </w:tc>
              <w:tc>
                <w:tcPr>
                  <w:tcW w:w="1260" w:type="dxa"/>
                  <w:tcBorders>
                    <w:top w:val="nil"/>
                    <w:left w:val="nil"/>
                    <w:bottom w:val="nil"/>
                    <w:right w:val="nil"/>
                  </w:tcBorders>
                  <w:shd w:val="clear" w:color="D9E1F2" w:fill="D9E1F2"/>
                  <w:noWrap/>
                  <w:vAlign w:val="bottom"/>
                  <w:hideMark/>
                </w:tcPr>
                <w:p w14:paraId="12476C6E" w14:textId="77777777" w:rsidR="00585D81" w:rsidRDefault="00585D81" w:rsidP="00585D81">
                  <w:pPr>
                    <w:jc w:val="center"/>
                    <w:rPr>
                      <w:rFonts w:ascii="Arial" w:hAnsi="Arial" w:cs="Arial"/>
                      <w:b/>
                      <w:bCs/>
                      <w:color w:val="D9E1F2"/>
                    </w:rPr>
                  </w:pPr>
                  <w:r>
                    <w:rPr>
                      <w:rFonts w:ascii="Arial" w:hAnsi="Arial" w:cs="Arial"/>
                      <w:b/>
                      <w:bCs/>
                      <w:color w:val="D9E1F2"/>
                    </w:rPr>
                    <w:t>Values</w:t>
                  </w:r>
                </w:p>
              </w:tc>
              <w:tc>
                <w:tcPr>
                  <w:tcW w:w="1040" w:type="dxa"/>
                  <w:tcBorders>
                    <w:top w:val="nil"/>
                    <w:left w:val="nil"/>
                    <w:bottom w:val="nil"/>
                    <w:right w:val="nil"/>
                  </w:tcBorders>
                  <w:shd w:val="clear" w:color="D9E1F2" w:fill="D9E1F2"/>
                  <w:noWrap/>
                  <w:vAlign w:val="bottom"/>
                  <w:hideMark/>
                </w:tcPr>
                <w:p w14:paraId="59176272" w14:textId="77777777" w:rsidR="00585D81" w:rsidRDefault="00585D81" w:rsidP="00585D81">
                  <w:pPr>
                    <w:jc w:val="center"/>
                    <w:rPr>
                      <w:rFonts w:ascii="Arial" w:hAnsi="Arial" w:cs="Arial"/>
                      <w:b/>
                      <w:bCs/>
                      <w:color w:val="D9E1F2"/>
                    </w:rPr>
                  </w:pPr>
                </w:p>
              </w:tc>
            </w:tr>
            <w:tr w:rsidR="00585D81" w14:paraId="7F67B8CE" w14:textId="77777777" w:rsidTr="00585D81">
              <w:trPr>
                <w:trHeight w:val="300"/>
              </w:trPr>
              <w:tc>
                <w:tcPr>
                  <w:tcW w:w="2740" w:type="dxa"/>
                  <w:tcBorders>
                    <w:top w:val="nil"/>
                    <w:left w:val="nil"/>
                    <w:bottom w:val="nil"/>
                    <w:right w:val="nil"/>
                  </w:tcBorders>
                  <w:shd w:val="clear" w:color="D9E1F2" w:fill="D9E1F2"/>
                  <w:noWrap/>
                  <w:vAlign w:val="bottom"/>
                  <w:hideMark/>
                </w:tcPr>
                <w:p w14:paraId="3B17F4EF" w14:textId="77777777" w:rsidR="00585D81" w:rsidRDefault="00585D81" w:rsidP="00585D81">
                  <w:pPr>
                    <w:jc w:val="left"/>
                    <w:rPr>
                      <w:rFonts w:ascii="Arial" w:hAnsi="Arial" w:cs="Arial"/>
                      <w:b/>
                      <w:bCs/>
                      <w:color w:val="000000"/>
                    </w:rPr>
                  </w:pPr>
                  <w:r>
                    <w:rPr>
                      <w:rFonts w:ascii="Arial" w:hAnsi="Arial" w:cs="Arial"/>
                      <w:b/>
                      <w:bCs/>
                      <w:color w:val="000000"/>
                    </w:rPr>
                    <w:t>Ethnicity</w:t>
                  </w:r>
                </w:p>
              </w:tc>
              <w:tc>
                <w:tcPr>
                  <w:tcW w:w="1260" w:type="dxa"/>
                  <w:tcBorders>
                    <w:top w:val="nil"/>
                    <w:left w:val="nil"/>
                    <w:bottom w:val="nil"/>
                    <w:right w:val="nil"/>
                  </w:tcBorders>
                  <w:shd w:val="clear" w:color="D9E1F2" w:fill="D9E1F2"/>
                  <w:noWrap/>
                  <w:vAlign w:val="bottom"/>
                  <w:hideMark/>
                </w:tcPr>
                <w:p w14:paraId="211C3C88" w14:textId="77777777" w:rsidR="00585D81" w:rsidRDefault="00585D81" w:rsidP="00585D81">
                  <w:pPr>
                    <w:jc w:val="center"/>
                    <w:rPr>
                      <w:rFonts w:ascii="Arial" w:hAnsi="Arial" w:cs="Arial"/>
                      <w:b/>
                      <w:bCs/>
                      <w:color w:val="000000"/>
                    </w:rPr>
                  </w:pPr>
                  <w:r>
                    <w:rPr>
                      <w:rFonts w:ascii="Arial" w:hAnsi="Arial" w:cs="Arial"/>
                      <w:b/>
                      <w:bCs/>
                      <w:color w:val="000000"/>
                    </w:rPr>
                    <w:t>Headcount</w:t>
                  </w:r>
                </w:p>
              </w:tc>
              <w:tc>
                <w:tcPr>
                  <w:tcW w:w="1040" w:type="dxa"/>
                  <w:tcBorders>
                    <w:top w:val="nil"/>
                    <w:left w:val="nil"/>
                    <w:bottom w:val="nil"/>
                    <w:right w:val="nil"/>
                  </w:tcBorders>
                  <w:shd w:val="clear" w:color="D9E1F2" w:fill="D9E1F2"/>
                  <w:noWrap/>
                  <w:vAlign w:val="bottom"/>
                  <w:hideMark/>
                </w:tcPr>
                <w:p w14:paraId="534B00BA" w14:textId="77777777" w:rsidR="00585D81" w:rsidRDefault="00585D81" w:rsidP="00585D81">
                  <w:pPr>
                    <w:jc w:val="center"/>
                    <w:rPr>
                      <w:rFonts w:ascii="Arial" w:hAnsi="Arial" w:cs="Arial"/>
                      <w:b/>
                      <w:bCs/>
                      <w:color w:val="000000"/>
                    </w:rPr>
                  </w:pPr>
                  <w:r>
                    <w:rPr>
                      <w:rFonts w:ascii="Arial" w:hAnsi="Arial" w:cs="Arial"/>
                      <w:b/>
                      <w:bCs/>
                      <w:color w:val="000000"/>
                    </w:rPr>
                    <w:t>Percent</w:t>
                  </w:r>
                </w:p>
              </w:tc>
            </w:tr>
            <w:tr w:rsidR="00585D81" w14:paraId="40C20540" w14:textId="77777777" w:rsidTr="00585D81">
              <w:trPr>
                <w:trHeight w:val="300"/>
              </w:trPr>
              <w:tc>
                <w:tcPr>
                  <w:tcW w:w="2740" w:type="dxa"/>
                  <w:tcBorders>
                    <w:top w:val="nil"/>
                    <w:left w:val="nil"/>
                    <w:bottom w:val="nil"/>
                    <w:right w:val="nil"/>
                  </w:tcBorders>
                  <w:noWrap/>
                  <w:vAlign w:val="bottom"/>
                  <w:hideMark/>
                </w:tcPr>
                <w:p w14:paraId="4929C3DA" w14:textId="77777777" w:rsidR="00585D81" w:rsidRDefault="00585D81" w:rsidP="00585D81">
                  <w:pPr>
                    <w:jc w:val="left"/>
                    <w:rPr>
                      <w:rFonts w:ascii="Arial" w:hAnsi="Arial" w:cs="Arial"/>
                      <w:color w:val="000000"/>
                    </w:rPr>
                  </w:pPr>
                  <w:r>
                    <w:rPr>
                      <w:rFonts w:ascii="Arial" w:hAnsi="Arial" w:cs="Arial"/>
                      <w:color w:val="000000"/>
                    </w:rPr>
                    <w:t>Asian</w:t>
                  </w:r>
                </w:p>
              </w:tc>
              <w:tc>
                <w:tcPr>
                  <w:tcW w:w="1260" w:type="dxa"/>
                  <w:tcBorders>
                    <w:top w:val="nil"/>
                    <w:left w:val="nil"/>
                    <w:bottom w:val="nil"/>
                    <w:right w:val="nil"/>
                  </w:tcBorders>
                  <w:noWrap/>
                  <w:vAlign w:val="bottom"/>
                  <w:hideMark/>
                </w:tcPr>
                <w:p w14:paraId="624B5657" w14:textId="77777777" w:rsidR="00585D81" w:rsidRDefault="00585D81" w:rsidP="00585D81">
                  <w:pPr>
                    <w:jc w:val="center"/>
                    <w:rPr>
                      <w:rFonts w:ascii="Arial" w:hAnsi="Arial" w:cs="Arial"/>
                      <w:color w:val="000000"/>
                    </w:rPr>
                  </w:pPr>
                  <w:r>
                    <w:rPr>
                      <w:rFonts w:ascii="Arial" w:hAnsi="Arial" w:cs="Arial"/>
                      <w:color w:val="000000"/>
                    </w:rPr>
                    <w:t>10</w:t>
                  </w:r>
                </w:p>
              </w:tc>
              <w:tc>
                <w:tcPr>
                  <w:tcW w:w="1040" w:type="dxa"/>
                  <w:tcBorders>
                    <w:top w:val="nil"/>
                    <w:left w:val="nil"/>
                    <w:bottom w:val="nil"/>
                    <w:right w:val="nil"/>
                  </w:tcBorders>
                  <w:noWrap/>
                  <w:vAlign w:val="bottom"/>
                  <w:hideMark/>
                </w:tcPr>
                <w:p w14:paraId="7F3C20C4" w14:textId="77777777" w:rsidR="00585D81" w:rsidRDefault="00585D81" w:rsidP="00585D81">
                  <w:pPr>
                    <w:jc w:val="center"/>
                    <w:rPr>
                      <w:rFonts w:ascii="Arial" w:hAnsi="Arial" w:cs="Arial"/>
                      <w:color w:val="000000"/>
                    </w:rPr>
                  </w:pPr>
                  <w:r>
                    <w:rPr>
                      <w:rFonts w:ascii="Arial" w:hAnsi="Arial" w:cs="Arial"/>
                      <w:color w:val="000000"/>
                    </w:rPr>
                    <w:t>24%</w:t>
                  </w:r>
                </w:p>
              </w:tc>
            </w:tr>
            <w:tr w:rsidR="00585D81" w14:paraId="75C69996" w14:textId="77777777" w:rsidTr="00585D81">
              <w:trPr>
                <w:trHeight w:val="300"/>
              </w:trPr>
              <w:tc>
                <w:tcPr>
                  <w:tcW w:w="2740" w:type="dxa"/>
                  <w:tcBorders>
                    <w:top w:val="nil"/>
                    <w:left w:val="nil"/>
                    <w:bottom w:val="nil"/>
                    <w:right w:val="nil"/>
                  </w:tcBorders>
                  <w:noWrap/>
                  <w:vAlign w:val="bottom"/>
                  <w:hideMark/>
                </w:tcPr>
                <w:p w14:paraId="6E504070" w14:textId="77777777" w:rsidR="00585D81" w:rsidRDefault="00585D81" w:rsidP="00585D81">
                  <w:pPr>
                    <w:jc w:val="left"/>
                    <w:rPr>
                      <w:rFonts w:ascii="Arial" w:hAnsi="Arial" w:cs="Arial"/>
                      <w:color w:val="000000"/>
                    </w:rPr>
                  </w:pPr>
                  <w:r>
                    <w:rPr>
                      <w:rFonts w:ascii="Arial" w:hAnsi="Arial" w:cs="Arial"/>
                      <w:color w:val="000000"/>
                    </w:rPr>
                    <w:t>Black / African American</w:t>
                  </w:r>
                </w:p>
              </w:tc>
              <w:tc>
                <w:tcPr>
                  <w:tcW w:w="1260" w:type="dxa"/>
                  <w:tcBorders>
                    <w:top w:val="nil"/>
                    <w:left w:val="nil"/>
                    <w:bottom w:val="nil"/>
                    <w:right w:val="nil"/>
                  </w:tcBorders>
                  <w:noWrap/>
                  <w:vAlign w:val="bottom"/>
                  <w:hideMark/>
                </w:tcPr>
                <w:p w14:paraId="17C500E0" w14:textId="77777777" w:rsidR="00585D81" w:rsidRDefault="00585D81" w:rsidP="00585D81">
                  <w:pPr>
                    <w:jc w:val="center"/>
                    <w:rPr>
                      <w:rFonts w:ascii="Arial" w:hAnsi="Arial" w:cs="Arial"/>
                      <w:color w:val="000000"/>
                    </w:rPr>
                  </w:pPr>
                  <w:r>
                    <w:rPr>
                      <w:rFonts w:ascii="Arial" w:hAnsi="Arial" w:cs="Arial"/>
                      <w:color w:val="000000"/>
                    </w:rPr>
                    <w:t>5</w:t>
                  </w:r>
                </w:p>
              </w:tc>
              <w:tc>
                <w:tcPr>
                  <w:tcW w:w="1040" w:type="dxa"/>
                  <w:tcBorders>
                    <w:top w:val="nil"/>
                    <w:left w:val="nil"/>
                    <w:bottom w:val="nil"/>
                    <w:right w:val="nil"/>
                  </w:tcBorders>
                  <w:noWrap/>
                  <w:vAlign w:val="bottom"/>
                  <w:hideMark/>
                </w:tcPr>
                <w:p w14:paraId="7BBF5256" w14:textId="77777777" w:rsidR="00585D81" w:rsidRDefault="00585D81" w:rsidP="00585D81">
                  <w:pPr>
                    <w:jc w:val="center"/>
                    <w:rPr>
                      <w:rFonts w:ascii="Arial" w:hAnsi="Arial" w:cs="Arial"/>
                      <w:color w:val="000000"/>
                    </w:rPr>
                  </w:pPr>
                  <w:r>
                    <w:rPr>
                      <w:rFonts w:ascii="Arial" w:hAnsi="Arial" w:cs="Arial"/>
                      <w:color w:val="000000"/>
                    </w:rPr>
                    <w:t>12%</w:t>
                  </w:r>
                </w:p>
              </w:tc>
            </w:tr>
            <w:tr w:rsidR="00585D81" w14:paraId="66F0E06E" w14:textId="77777777" w:rsidTr="00585D81">
              <w:trPr>
                <w:trHeight w:val="300"/>
              </w:trPr>
              <w:tc>
                <w:tcPr>
                  <w:tcW w:w="2740" w:type="dxa"/>
                  <w:tcBorders>
                    <w:top w:val="nil"/>
                    <w:left w:val="nil"/>
                    <w:bottom w:val="nil"/>
                    <w:right w:val="nil"/>
                  </w:tcBorders>
                  <w:noWrap/>
                  <w:vAlign w:val="bottom"/>
                  <w:hideMark/>
                </w:tcPr>
                <w:p w14:paraId="5EFF0281" w14:textId="77777777" w:rsidR="00585D81" w:rsidRDefault="00585D81" w:rsidP="00585D81">
                  <w:pPr>
                    <w:jc w:val="left"/>
                    <w:rPr>
                      <w:rFonts w:ascii="Arial" w:hAnsi="Arial" w:cs="Arial"/>
                      <w:color w:val="000000"/>
                    </w:rPr>
                  </w:pPr>
                  <w:r>
                    <w:rPr>
                      <w:rFonts w:ascii="Arial" w:hAnsi="Arial" w:cs="Arial"/>
                      <w:color w:val="000000"/>
                    </w:rPr>
                    <w:t>Hispanic / Latino</w:t>
                  </w:r>
                </w:p>
              </w:tc>
              <w:tc>
                <w:tcPr>
                  <w:tcW w:w="1260" w:type="dxa"/>
                  <w:tcBorders>
                    <w:top w:val="nil"/>
                    <w:left w:val="nil"/>
                    <w:bottom w:val="nil"/>
                    <w:right w:val="nil"/>
                  </w:tcBorders>
                  <w:noWrap/>
                  <w:vAlign w:val="bottom"/>
                  <w:hideMark/>
                </w:tcPr>
                <w:p w14:paraId="7810082B" w14:textId="77777777" w:rsidR="00585D81" w:rsidRDefault="00585D81" w:rsidP="00585D81">
                  <w:pPr>
                    <w:jc w:val="center"/>
                    <w:rPr>
                      <w:rFonts w:ascii="Arial" w:hAnsi="Arial" w:cs="Arial"/>
                      <w:color w:val="000000"/>
                    </w:rPr>
                  </w:pPr>
                  <w:r>
                    <w:rPr>
                      <w:rFonts w:ascii="Arial" w:hAnsi="Arial" w:cs="Arial"/>
                      <w:color w:val="000000"/>
                    </w:rPr>
                    <w:t>16</w:t>
                  </w:r>
                </w:p>
              </w:tc>
              <w:tc>
                <w:tcPr>
                  <w:tcW w:w="1040" w:type="dxa"/>
                  <w:tcBorders>
                    <w:top w:val="nil"/>
                    <w:left w:val="nil"/>
                    <w:bottom w:val="nil"/>
                    <w:right w:val="nil"/>
                  </w:tcBorders>
                  <w:noWrap/>
                  <w:vAlign w:val="bottom"/>
                  <w:hideMark/>
                </w:tcPr>
                <w:p w14:paraId="1A165CC0" w14:textId="77777777" w:rsidR="00585D81" w:rsidRDefault="00585D81" w:rsidP="00585D81">
                  <w:pPr>
                    <w:jc w:val="center"/>
                    <w:rPr>
                      <w:rFonts w:ascii="Arial" w:hAnsi="Arial" w:cs="Arial"/>
                      <w:color w:val="000000"/>
                    </w:rPr>
                  </w:pPr>
                  <w:r>
                    <w:rPr>
                      <w:rFonts w:ascii="Arial" w:hAnsi="Arial" w:cs="Arial"/>
                      <w:color w:val="000000"/>
                    </w:rPr>
                    <w:t>38%</w:t>
                  </w:r>
                </w:p>
              </w:tc>
            </w:tr>
            <w:tr w:rsidR="00585D81" w14:paraId="2343F170" w14:textId="77777777" w:rsidTr="00585D81">
              <w:trPr>
                <w:trHeight w:val="300"/>
              </w:trPr>
              <w:tc>
                <w:tcPr>
                  <w:tcW w:w="2740" w:type="dxa"/>
                  <w:tcBorders>
                    <w:top w:val="nil"/>
                    <w:left w:val="nil"/>
                    <w:bottom w:val="nil"/>
                    <w:right w:val="nil"/>
                  </w:tcBorders>
                  <w:noWrap/>
                  <w:vAlign w:val="bottom"/>
                  <w:hideMark/>
                </w:tcPr>
                <w:p w14:paraId="41DEBC05" w14:textId="77777777" w:rsidR="00585D81" w:rsidRDefault="00585D81" w:rsidP="00585D81">
                  <w:pPr>
                    <w:jc w:val="left"/>
                    <w:rPr>
                      <w:rFonts w:ascii="Arial" w:hAnsi="Arial" w:cs="Arial"/>
                      <w:color w:val="000000"/>
                    </w:rPr>
                  </w:pPr>
                  <w:r>
                    <w:rPr>
                      <w:rFonts w:ascii="Arial" w:hAnsi="Arial" w:cs="Arial"/>
                      <w:color w:val="000000"/>
                    </w:rPr>
                    <w:t>Two or More</w:t>
                  </w:r>
                </w:p>
              </w:tc>
              <w:tc>
                <w:tcPr>
                  <w:tcW w:w="1260" w:type="dxa"/>
                  <w:tcBorders>
                    <w:top w:val="nil"/>
                    <w:left w:val="nil"/>
                    <w:bottom w:val="nil"/>
                    <w:right w:val="nil"/>
                  </w:tcBorders>
                  <w:noWrap/>
                  <w:vAlign w:val="bottom"/>
                  <w:hideMark/>
                </w:tcPr>
                <w:p w14:paraId="18DFE06A" w14:textId="77777777" w:rsidR="00585D81" w:rsidRDefault="00585D81" w:rsidP="00585D81">
                  <w:pPr>
                    <w:jc w:val="center"/>
                    <w:rPr>
                      <w:rFonts w:ascii="Arial" w:hAnsi="Arial" w:cs="Arial"/>
                      <w:color w:val="000000"/>
                    </w:rPr>
                  </w:pPr>
                  <w:r>
                    <w:rPr>
                      <w:rFonts w:ascii="Arial" w:hAnsi="Arial" w:cs="Arial"/>
                      <w:color w:val="000000"/>
                    </w:rPr>
                    <w:t>6</w:t>
                  </w:r>
                </w:p>
              </w:tc>
              <w:tc>
                <w:tcPr>
                  <w:tcW w:w="1040" w:type="dxa"/>
                  <w:tcBorders>
                    <w:top w:val="nil"/>
                    <w:left w:val="nil"/>
                    <w:bottom w:val="nil"/>
                    <w:right w:val="nil"/>
                  </w:tcBorders>
                  <w:noWrap/>
                  <w:vAlign w:val="bottom"/>
                  <w:hideMark/>
                </w:tcPr>
                <w:p w14:paraId="5FB0F8C1" w14:textId="77777777" w:rsidR="00585D81" w:rsidRDefault="00585D81" w:rsidP="00585D81">
                  <w:pPr>
                    <w:jc w:val="center"/>
                    <w:rPr>
                      <w:rFonts w:ascii="Arial" w:hAnsi="Arial" w:cs="Arial"/>
                      <w:color w:val="000000"/>
                    </w:rPr>
                  </w:pPr>
                  <w:r>
                    <w:rPr>
                      <w:rFonts w:ascii="Arial" w:hAnsi="Arial" w:cs="Arial"/>
                      <w:color w:val="000000"/>
                    </w:rPr>
                    <w:t>14%</w:t>
                  </w:r>
                </w:p>
              </w:tc>
            </w:tr>
            <w:tr w:rsidR="00585D81" w14:paraId="0CE47662" w14:textId="77777777" w:rsidTr="00585D81">
              <w:trPr>
                <w:trHeight w:val="300"/>
              </w:trPr>
              <w:tc>
                <w:tcPr>
                  <w:tcW w:w="2740" w:type="dxa"/>
                  <w:tcBorders>
                    <w:top w:val="nil"/>
                    <w:left w:val="nil"/>
                    <w:bottom w:val="nil"/>
                    <w:right w:val="nil"/>
                  </w:tcBorders>
                  <w:noWrap/>
                  <w:vAlign w:val="bottom"/>
                  <w:hideMark/>
                </w:tcPr>
                <w:p w14:paraId="009209B1" w14:textId="77777777" w:rsidR="00585D81" w:rsidRDefault="00585D81" w:rsidP="00585D81">
                  <w:pPr>
                    <w:jc w:val="left"/>
                    <w:rPr>
                      <w:rFonts w:ascii="Arial" w:hAnsi="Arial" w:cs="Arial"/>
                      <w:color w:val="000000"/>
                    </w:rPr>
                  </w:pPr>
                  <w:r>
                    <w:rPr>
                      <w:rFonts w:ascii="Arial" w:hAnsi="Arial" w:cs="Arial"/>
                      <w:color w:val="000000"/>
                    </w:rPr>
                    <w:t>Unknown / NR</w:t>
                  </w:r>
                </w:p>
              </w:tc>
              <w:tc>
                <w:tcPr>
                  <w:tcW w:w="1260" w:type="dxa"/>
                  <w:tcBorders>
                    <w:top w:val="nil"/>
                    <w:left w:val="nil"/>
                    <w:bottom w:val="nil"/>
                    <w:right w:val="nil"/>
                  </w:tcBorders>
                  <w:noWrap/>
                  <w:vAlign w:val="bottom"/>
                  <w:hideMark/>
                </w:tcPr>
                <w:p w14:paraId="7D8A8105" w14:textId="77777777" w:rsidR="00585D81" w:rsidRDefault="00585D81" w:rsidP="00585D81">
                  <w:pPr>
                    <w:jc w:val="center"/>
                    <w:rPr>
                      <w:rFonts w:ascii="Arial" w:hAnsi="Arial" w:cs="Arial"/>
                      <w:color w:val="000000"/>
                    </w:rPr>
                  </w:pPr>
                  <w:r>
                    <w:rPr>
                      <w:rFonts w:ascii="Arial" w:hAnsi="Arial" w:cs="Arial"/>
                      <w:color w:val="000000"/>
                    </w:rPr>
                    <w:t>3</w:t>
                  </w:r>
                </w:p>
              </w:tc>
              <w:tc>
                <w:tcPr>
                  <w:tcW w:w="1040" w:type="dxa"/>
                  <w:tcBorders>
                    <w:top w:val="nil"/>
                    <w:left w:val="nil"/>
                    <w:bottom w:val="nil"/>
                    <w:right w:val="nil"/>
                  </w:tcBorders>
                  <w:noWrap/>
                  <w:vAlign w:val="bottom"/>
                  <w:hideMark/>
                </w:tcPr>
                <w:p w14:paraId="4584A616" w14:textId="77777777" w:rsidR="00585D81" w:rsidRDefault="00585D81" w:rsidP="00585D81">
                  <w:pPr>
                    <w:jc w:val="center"/>
                    <w:rPr>
                      <w:rFonts w:ascii="Arial" w:hAnsi="Arial" w:cs="Arial"/>
                      <w:color w:val="000000"/>
                    </w:rPr>
                  </w:pPr>
                  <w:r>
                    <w:rPr>
                      <w:rFonts w:ascii="Arial" w:hAnsi="Arial" w:cs="Arial"/>
                      <w:color w:val="000000"/>
                    </w:rPr>
                    <w:t>7%</w:t>
                  </w:r>
                </w:p>
              </w:tc>
            </w:tr>
            <w:tr w:rsidR="00585D81" w14:paraId="4FEE2D23" w14:textId="77777777" w:rsidTr="00585D81">
              <w:trPr>
                <w:trHeight w:val="300"/>
              </w:trPr>
              <w:tc>
                <w:tcPr>
                  <w:tcW w:w="2740" w:type="dxa"/>
                  <w:tcBorders>
                    <w:top w:val="nil"/>
                    <w:left w:val="nil"/>
                    <w:bottom w:val="nil"/>
                    <w:right w:val="nil"/>
                  </w:tcBorders>
                  <w:noWrap/>
                  <w:vAlign w:val="bottom"/>
                  <w:hideMark/>
                </w:tcPr>
                <w:p w14:paraId="339E3FA8" w14:textId="77777777" w:rsidR="00585D81" w:rsidRDefault="00585D81" w:rsidP="00585D81">
                  <w:pPr>
                    <w:jc w:val="left"/>
                    <w:rPr>
                      <w:rFonts w:ascii="Arial" w:hAnsi="Arial" w:cs="Arial"/>
                      <w:color w:val="000000"/>
                    </w:rPr>
                  </w:pPr>
                  <w:r>
                    <w:rPr>
                      <w:rFonts w:ascii="Arial" w:hAnsi="Arial" w:cs="Arial"/>
                      <w:color w:val="000000"/>
                    </w:rPr>
                    <w:t>White</w:t>
                  </w:r>
                </w:p>
              </w:tc>
              <w:tc>
                <w:tcPr>
                  <w:tcW w:w="1260" w:type="dxa"/>
                  <w:tcBorders>
                    <w:top w:val="nil"/>
                    <w:left w:val="nil"/>
                    <w:bottom w:val="nil"/>
                    <w:right w:val="nil"/>
                  </w:tcBorders>
                  <w:noWrap/>
                  <w:vAlign w:val="bottom"/>
                  <w:hideMark/>
                </w:tcPr>
                <w:p w14:paraId="58FCD065" w14:textId="77777777" w:rsidR="00585D81" w:rsidRDefault="00585D81" w:rsidP="00585D81">
                  <w:pPr>
                    <w:jc w:val="center"/>
                    <w:rPr>
                      <w:rFonts w:ascii="Arial" w:hAnsi="Arial" w:cs="Arial"/>
                      <w:color w:val="000000"/>
                    </w:rPr>
                  </w:pPr>
                  <w:r>
                    <w:rPr>
                      <w:rFonts w:ascii="Arial" w:hAnsi="Arial" w:cs="Arial"/>
                      <w:color w:val="000000"/>
                    </w:rPr>
                    <w:t>2</w:t>
                  </w:r>
                </w:p>
              </w:tc>
              <w:tc>
                <w:tcPr>
                  <w:tcW w:w="1040" w:type="dxa"/>
                  <w:tcBorders>
                    <w:top w:val="nil"/>
                    <w:left w:val="nil"/>
                    <w:bottom w:val="nil"/>
                    <w:right w:val="nil"/>
                  </w:tcBorders>
                  <w:noWrap/>
                  <w:vAlign w:val="bottom"/>
                  <w:hideMark/>
                </w:tcPr>
                <w:p w14:paraId="75D38DA7" w14:textId="77777777" w:rsidR="00585D81" w:rsidRDefault="00585D81" w:rsidP="00585D81">
                  <w:pPr>
                    <w:jc w:val="center"/>
                    <w:rPr>
                      <w:rFonts w:ascii="Arial" w:hAnsi="Arial" w:cs="Arial"/>
                      <w:color w:val="000000"/>
                    </w:rPr>
                  </w:pPr>
                  <w:r>
                    <w:rPr>
                      <w:rFonts w:ascii="Arial" w:hAnsi="Arial" w:cs="Arial"/>
                      <w:color w:val="000000"/>
                    </w:rPr>
                    <w:t>5%</w:t>
                  </w:r>
                </w:p>
              </w:tc>
            </w:tr>
            <w:tr w:rsidR="00585D81" w14:paraId="1B232AB6" w14:textId="77777777" w:rsidTr="00585D81">
              <w:trPr>
                <w:trHeight w:val="300"/>
              </w:trPr>
              <w:tc>
                <w:tcPr>
                  <w:tcW w:w="2740" w:type="dxa"/>
                  <w:tcBorders>
                    <w:top w:val="nil"/>
                    <w:left w:val="nil"/>
                    <w:bottom w:val="nil"/>
                    <w:right w:val="nil"/>
                  </w:tcBorders>
                  <w:shd w:val="clear" w:color="D9E1F2" w:fill="D9E1F2"/>
                  <w:noWrap/>
                  <w:vAlign w:val="bottom"/>
                  <w:hideMark/>
                </w:tcPr>
                <w:p w14:paraId="7F468016" w14:textId="77777777" w:rsidR="00585D81" w:rsidRDefault="00585D81" w:rsidP="00585D81">
                  <w:pPr>
                    <w:jc w:val="left"/>
                    <w:rPr>
                      <w:rFonts w:ascii="Arial" w:hAnsi="Arial" w:cs="Arial"/>
                      <w:b/>
                      <w:bCs/>
                      <w:color w:val="000000"/>
                    </w:rPr>
                  </w:pPr>
                  <w:r>
                    <w:rPr>
                      <w:rFonts w:ascii="Arial" w:hAnsi="Arial" w:cs="Arial"/>
                      <w:b/>
                      <w:bCs/>
                      <w:color w:val="000000"/>
                    </w:rPr>
                    <w:lastRenderedPageBreak/>
                    <w:t>Grand Total</w:t>
                  </w:r>
                </w:p>
              </w:tc>
              <w:tc>
                <w:tcPr>
                  <w:tcW w:w="1260" w:type="dxa"/>
                  <w:tcBorders>
                    <w:top w:val="nil"/>
                    <w:left w:val="nil"/>
                    <w:bottom w:val="nil"/>
                    <w:right w:val="nil"/>
                  </w:tcBorders>
                  <w:shd w:val="clear" w:color="D9E1F2" w:fill="D9E1F2"/>
                  <w:noWrap/>
                  <w:vAlign w:val="bottom"/>
                  <w:hideMark/>
                </w:tcPr>
                <w:p w14:paraId="4EACCD2B" w14:textId="77777777" w:rsidR="00585D81" w:rsidRDefault="00585D81" w:rsidP="00585D81">
                  <w:pPr>
                    <w:jc w:val="center"/>
                    <w:rPr>
                      <w:rFonts w:ascii="Arial" w:hAnsi="Arial" w:cs="Arial"/>
                      <w:b/>
                      <w:bCs/>
                      <w:color w:val="000000"/>
                    </w:rPr>
                  </w:pPr>
                  <w:r>
                    <w:rPr>
                      <w:rFonts w:ascii="Arial" w:hAnsi="Arial" w:cs="Arial"/>
                      <w:b/>
                      <w:bCs/>
                      <w:color w:val="000000"/>
                    </w:rPr>
                    <w:t>42</w:t>
                  </w:r>
                </w:p>
              </w:tc>
              <w:tc>
                <w:tcPr>
                  <w:tcW w:w="1040" w:type="dxa"/>
                  <w:tcBorders>
                    <w:top w:val="nil"/>
                    <w:left w:val="nil"/>
                    <w:bottom w:val="nil"/>
                    <w:right w:val="nil"/>
                  </w:tcBorders>
                  <w:shd w:val="clear" w:color="D9E1F2" w:fill="D9E1F2"/>
                  <w:noWrap/>
                  <w:vAlign w:val="bottom"/>
                  <w:hideMark/>
                </w:tcPr>
                <w:p w14:paraId="5647CA27" w14:textId="77777777" w:rsidR="00585D81" w:rsidRDefault="00585D81" w:rsidP="00585D81">
                  <w:pPr>
                    <w:jc w:val="center"/>
                    <w:rPr>
                      <w:rFonts w:ascii="Arial" w:hAnsi="Arial" w:cs="Arial"/>
                      <w:b/>
                      <w:bCs/>
                      <w:color w:val="000000"/>
                    </w:rPr>
                  </w:pPr>
                  <w:r>
                    <w:rPr>
                      <w:rFonts w:ascii="Arial" w:hAnsi="Arial" w:cs="Arial"/>
                      <w:b/>
                      <w:bCs/>
                      <w:color w:val="000000"/>
                    </w:rPr>
                    <w:t>100%</w:t>
                  </w:r>
                </w:p>
              </w:tc>
            </w:tr>
            <w:tr w:rsidR="00585D81" w14:paraId="6EA35B22" w14:textId="77777777" w:rsidTr="00585D81">
              <w:trPr>
                <w:trHeight w:val="300"/>
              </w:trPr>
              <w:tc>
                <w:tcPr>
                  <w:tcW w:w="2740" w:type="dxa"/>
                  <w:tcBorders>
                    <w:top w:val="nil"/>
                    <w:left w:val="nil"/>
                    <w:bottom w:val="nil"/>
                    <w:right w:val="nil"/>
                  </w:tcBorders>
                  <w:noWrap/>
                  <w:vAlign w:val="bottom"/>
                  <w:hideMark/>
                </w:tcPr>
                <w:p w14:paraId="2F2A5B37" w14:textId="77777777" w:rsidR="00585D81" w:rsidRDefault="00585D81" w:rsidP="00585D81">
                  <w:pPr>
                    <w:jc w:val="center"/>
                    <w:rPr>
                      <w:rFonts w:ascii="Arial" w:hAnsi="Arial" w:cs="Arial"/>
                      <w:b/>
                      <w:bCs/>
                      <w:color w:val="000000"/>
                    </w:rPr>
                  </w:pPr>
                </w:p>
              </w:tc>
              <w:tc>
                <w:tcPr>
                  <w:tcW w:w="1260" w:type="dxa"/>
                  <w:tcBorders>
                    <w:top w:val="nil"/>
                    <w:left w:val="nil"/>
                    <w:bottom w:val="nil"/>
                    <w:right w:val="nil"/>
                  </w:tcBorders>
                  <w:noWrap/>
                  <w:vAlign w:val="bottom"/>
                  <w:hideMark/>
                </w:tcPr>
                <w:p w14:paraId="06FA1152" w14:textId="77777777" w:rsidR="00585D81" w:rsidRDefault="00585D81" w:rsidP="00585D81">
                  <w:pPr>
                    <w:rPr>
                      <w:sz w:val="20"/>
                      <w:szCs w:val="20"/>
                    </w:rPr>
                  </w:pPr>
                </w:p>
              </w:tc>
              <w:tc>
                <w:tcPr>
                  <w:tcW w:w="1040" w:type="dxa"/>
                  <w:tcBorders>
                    <w:top w:val="nil"/>
                    <w:left w:val="nil"/>
                    <w:bottom w:val="nil"/>
                    <w:right w:val="nil"/>
                  </w:tcBorders>
                  <w:noWrap/>
                  <w:vAlign w:val="bottom"/>
                  <w:hideMark/>
                </w:tcPr>
                <w:p w14:paraId="42771D14" w14:textId="77777777" w:rsidR="00585D81" w:rsidRDefault="00585D81" w:rsidP="00585D81">
                  <w:pPr>
                    <w:rPr>
                      <w:sz w:val="20"/>
                      <w:szCs w:val="20"/>
                    </w:rPr>
                  </w:pPr>
                </w:p>
              </w:tc>
            </w:tr>
          </w:tbl>
          <w:p w14:paraId="695C9563" w14:textId="64C9B5C7" w:rsidR="00585D81" w:rsidRDefault="00585D81" w:rsidP="00585D81">
            <w:pPr>
              <w:rPr>
                <w:rFonts w:ascii="Times New Roman" w:hAnsi="Times New Roman" w:cs="Times New Roman"/>
                <w:color w:val="000000"/>
                <w:shd w:val="clear" w:color="auto" w:fill="FFFFFF"/>
              </w:rPr>
            </w:pPr>
            <w:r>
              <w:rPr>
                <w:rFonts w:ascii="Times New Roman" w:hAnsi="Times New Roman" w:cs="Times New Roman"/>
                <w:sz w:val="24"/>
                <w:szCs w:val="24"/>
              </w:rPr>
              <w:t xml:space="preserve">Of the subpopulation 60% are first generation students and 90% are low income.  </w:t>
            </w:r>
            <w:r w:rsidRPr="00585D81">
              <w:rPr>
                <w:rFonts w:ascii="Times New Roman" w:hAnsi="Times New Roman" w:cs="Times New Roman"/>
                <w:color w:val="000000"/>
                <w:shd w:val="clear" w:color="auto" w:fill="FFFFFF"/>
              </w:rPr>
              <w:t>Low income is defined as students who are eligible to receive federal pell or CA Promise Grant, OR have indicated that they are receiving SSI, CalWorks (TANF), or general assistance, OR have indicated their annual income meets the low</w:t>
            </w:r>
            <w:r w:rsidR="00FF640B">
              <w:rPr>
                <w:rFonts w:ascii="Times New Roman" w:hAnsi="Times New Roman" w:cs="Times New Roman"/>
                <w:color w:val="000000"/>
                <w:shd w:val="clear" w:color="auto" w:fill="FFFFFF"/>
              </w:rPr>
              <w:t>-</w:t>
            </w:r>
            <w:r w:rsidRPr="00585D81">
              <w:rPr>
                <w:rFonts w:ascii="Times New Roman" w:hAnsi="Times New Roman" w:cs="Times New Roman"/>
                <w:color w:val="000000"/>
                <w:shd w:val="clear" w:color="auto" w:fill="FFFFFF"/>
              </w:rPr>
              <w:t>income limits as defined by the Department of Housing and Urban Development (HUD) for Alameda County.</w:t>
            </w:r>
          </w:p>
          <w:p w14:paraId="294F790C" w14:textId="68E38E75" w:rsidR="00FF640B" w:rsidRDefault="00FF640B" w:rsidP="00585D81">
            <w:pPr>
              <w:rPr>
                <w:rFonts w:ascii="Times New Roman" w:hAnsi="Times New Roman" w:cs="Times New Roman"/>
                <w:color w:val="000000"/>
                <w:shd w:val="clear" w:color="auto" w:fill="FFFFFF"/>
              </w:rPr>
            </w:pPr>
          </w:p>
          <w:p w14:paraId="28CF586C" w14:textId="099EBA8F" w:rsidR="00FF640B" w:rsidRDefault="00FF640B" w:rsidP="00585D81">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Health Services is committed to recruiting and supporting MFT Trainees that represent College of Alameda’s diverse campus community.  We currently have MOU’s with St. Mary’s, the Wright Institute, University of San Francisco, SF State University, and JFK to ensure that there is a wide range of applicants to provide mental health services.  We prioritize recruiting BIPOC and LGBTQ+ candidates.</w:t>
            </w:r>
          </w:p>
          <w:p w14:paraId="0B8BE091" w14:textId="77777777" w:rsidR="00FF640B" w:rsidRDefault="00FF640B" w:rsidP="00585D81">
            <w:pPr>
              <w:rPr>
                <w:rFonts w:ascii="Times New Roman" w:hAnsi="Times New Roman" w:cs="Times New Roman"/>
                <w:color w:val="000000"/>
                <w:shd w:val="clear" w:color="auto" w:fill="FFFFFF"/>
              </w:rPr>
            </w:pPr>
          </w:p>
          <w:p w14:paraId="63D26D35" w14:textId="48010113" w:rsidR="009D3210" w:rsidRDefault="00FF640B" w:rsidP="009D3210">
            <w:r>
              <w:rPr>
                <w:rFonts w:ascii="Times New Roman" w:hAnsi="Times New Roman" w:cs="Times New Roman"/>
                <w:color w:val="000000"/>
                <w:shd w:val="clear" w:color="auto" w:fill="FFFFFF"/>
              </w:rPr>
              <w:t>Our community partner, the Roots Clinic</w:t>
            </w:r>
            <w:r w:rsidR="00296E65">
              <w:rPr>
                <w:rFonts w:ascii="Times New Roman" w:hAnsi="Times New Roman" w:cs="Times New Roman"/>
                <w:color w:val="000000"/>
                <w:shd w:val="clear" w:color="auto" w:fill="FFFFFF"/>
              </w:rPr>
              <w:t xml:space="preserve"> aligns with our access, equity and success roles in providing medical services for our students.  Their vision and mission are the following:  </w:t>
            </w:r>
          </w:p>
          <w:p w14:paraId="5B77A1E1" w14:textId="69930938" w:rsidR="00296E65" w:rsidRPr="00296E65" w:rsidRDefault="00296E65" w:rsidP="00296E65">
            <w:pPr>
              <w:rPr>
                <w:rFonts w:ascii="Times New Roman" w:hAnsi="Times New Roman" w:cs="Times New Roman"/>
                <w:shd w:val="clear" w:color="auto" w:fill="FFFFFF"/>
              </w:rPr>
            </w:pPr>
            <w:r>
              <w:rPr>
                <w:rFonts w:ascii="Times New Roman" w:hAnsi="Times New Roman" w:cs="Times New Roman"/>
                <w:shd w:val="clear" w:color="auto" w:fill="FFFFFF"/>
              </w:rPr>
              <w:t>-</w:t>
            </w:r>
            <w:r w:rsidRPr="00296E65">
              <w:rPr>
                <w:rFonts w:ascii="Times New Roman" w:hAnsi="Times New Roman" w:cs="Times New Roman"/>
                <w:shd w:val="clear" w:color="auto" w:fill="FFFFFF"/>
              </w:rPr>
              <w:t>Founded in Oakland, California, the mission of Roots Community Health Center is to uplift those impacted by systemic inequities and poverty. We accomplish this through medical and behavioral health care, health navigation, workforce enterprises, housing, outreach, and advocacy.</w:t>
            </w:r>
          </w:p>
          <w:p w14:paraId="62A76A64" w14:textId="48D5A8F2" w:rsidR="00296E65" w:rsidRPr="00296E65" w:rsidRDefault="00296E65" w:rsidP="00296E65">
            <w:pPr>
              <w:pStyle w:val="NormalWeb"/>
              <w:shd w:val="clear" w:color="auto" w:fill="FFFFFF"/>
              <w:spacing w:before="0" w:beforeAutospacing="0" w:after="315" w:afterAutospacing="0"/>
              <w:rPr>
                <w:sz w:val="22"/>
                <w:szCs w:val="22"/>
              </w:rPr>
            </w:pPr>
            <w:r>
              <w:rPr>
                <w:sz w:val="22"/>
                <w:szCs w:val="22"/>
              </w:rPr>
              <w:t>-</w:t>
            </w:r>
            <w:r w:rsidRPr="00296E65">
              <w:rPr>
                <w:sz w:val="22"/>
                <w:szCs w:val="22"/>
              </w:rPr>
              <w:t>We envision a United States where all communities of African descent are resilient, healthy, self-sufficient, and self-determined. We are proudly serving the greater Bay Area and are expanding to other CA regions.</w:t>
            </w:r>
          </w:p>
          <w:p w14:paraId="3445ADDD" w14:textId="20DB7AA4" w:rsidR="009B6926" w:rsidRDefault="00296E65" w:rsidP="009E58FA">
            <w:pPr>
              <w:rPr>
                <w:rFonts w:ascii="Times New Roman" w:hAnsi="Times New Roman" w:cs="Times New Roman"/>
                <w:sz w:val="24"/>
                <w:szCs w:val="24"/>
              </w:rPr>
            </w:pPr>
            <w:r>
              <w:rPr>
                <w:rFonts w:ascii="Times New Roman" w:hAnsi="Times New Roman" w:cs="Times New Roman"/>
                <w:sz w:val="24"/>
                <w:szCs w:val="24"/>
              </w:rPr>
              <w:t xml:space="preserve">Please see their website for more information: </w:t>
            </w:r>
            <w:hyperlink r:id="rId15" w:history="1">
              <w:r w:rsidRPr="00296E65">
                <w:rPr>
                  <w:rStyle w:val="Hyperlink"/>
                  <w:rFonts w:ascii="Times New Roman" w:hAnsi="Times New Roman" w:cs="Times New Roman"/>
                  <w:sz w:val="24"/>
                  <w:szCs w:val="24"/>
                </w:rPr>
                <w:t>https://rootsclinic.org/</w:t>
              </w:r>
            </w:hyperlink>
          </w:p>
          <w:p w14:paraId="5BEE7996" w14:textId="66BB6102" w:rsidR="009B6926" w:rsidRDefault="009B6926" w:rsidP="009E58FA">
            <w:pPr>
              <w:rPr>
                <w:rFonts w:ascii="Times New Roman" w:hAnsi="Times New Roman" w:cs="Times New Roman"/>
                <w:sz w:val="24"/>
                <w:szCs w:val="24"/>
              </w:rPr>
            </w:pPr>
          </w:p>
          <w:p w14:paraId="3D856AAF" w14:textId="425A9710" w:rsidR="009B6926" w:rsidRDefault="009B6926" w:rsidP="009E58FA">
            <w:pPr>
              <w:rPr>
                <w:rFonts w:ascii="Times New Roman" w:hAnsi="Times New Roman" w:cs="Times New Roman"/>
                <w:sz w:val="24"/>
                <w:szCs w:val="24"/>
              </w:rPr>
            </w:pPr>
          </w:p>
          <w:p w14:paraId="28621256" w14:textId="556638B2" w:rsidR="009B6926" w:rsidRDefault="009B6926" w:rsidP="009E58FA">
            <w:pPr>
              <w:rPr>
                <w:rFonts w:ascii="Times New Roman" w:hAnsi="Times New Roman" w:cs="Times New Roman"/>
                <w:sz w:val="24"/>
                <w:szCs w:val="24"/>
              </w:rPr>
            </w:pPr>
          </w:p>
          <w:p w14:paraId="4D99DB21" w14:textId="2278725B" w:rsidR="009B6926" w:rsidRDefault="009B6926" w:rsidP="009E58FA">
            <w:pPr>
              <w:rPr>
                <w:rFonts w:ascii="Times New Roman" w:hAnsi="Times New Roman" w:cs="Times New Roman"/>
                <w:sz w:val="24"/>
                <w:szCs w:val="24"/>
              </w:rPr>
            </w:pPr>
          </w:p>
          <w:p w14:paraId="01C7E015" w14:textId="6BEC42FE" w:rsidR="009B6926" w:rsidRDefault="009B6926" w:rsidP="009E58FA">
            <w:pPr>
              <w:rPr>
                <w:rFonts w:ascii="Times New Roman" w:hAnsi="Times New Roman" w:cs="Times New Roman"/>
                <w:sz w:val="24"/>
                <w:szCs w:val="24"/>
              </w:rPr>
            </w:pPr>
          </w:p>
          <w:p w14:paraId="61D30169" w14:textId="76EA02B7" w:rsidR="009B6926" w:rsidRDefault="009B6926" w:rsidP="009E58FA">
            <w:pPr>
              <w:rPr>
                <w:rFonts w:ascii="Times New Roman" w:hAnsi="Times New Roman" w:cs="Times New Roman"/>
                <w:sz w:val="24"/>
                <w:szCs w:val="24"/>
              </w:rPr>
            </w:pPr>
          </w:p>
          <w:p w14:paraId="0A772410" w14:textId="17AF3DC6" w:rsidR="009B6926" w:rsidRDefault="009B6926" w:rsidP="009E58FA">
            <w:pPr>
              <w:rPr>
                <w:rFonts w:ascii="Times New Roman" w:hAnsi="Times New Roman" w:cs="Times New Roman"/>
                <w:sz w:val="24"/>
                <w:szCs w:val="24"/>
              </w:rPr>
            </w:pPr>
          </w:p>
          <w:p w14:paraId="38E1A51B" w14:textId="4387BDEC" w:rsidR="009B6926" w:rsidRDefault="009B6926" w:rsidP="009E58FA">
            <w:pPr>
              <w:rPr>
                <w:rFonts w:ascii="Times New Roman" w:hAnsi="Times New Roman" w:cs="Times New Roman"/>
                <w:sz w:val="24"/>
                <w:szCs w:val="24"/>
              </w:rPr>
            </w:pPr>
          </w:p>
          <w:p w14:paraId="498DDAA7" w14:textId="620A234A" w:rsidR="009B6926" w:rsidRDefault="009B6926" w:rsidP="009E58FA">
            <w:pPr>
              <w:rPr>
                <w:rFonts w:ascii="Times New Roman" w:hAnsi="Times New Roman" w:cs="Times New Roman"/>
                <w:sz w:val="24"/>
                <w:szCs w:val="24"/>
              </w:rPr>
            </w:pPr>
          </w:p>
          <w:p w14:paraId="39F8B9EE" w14:textId="77777777" w:rsidR="009B6926" w:rsidRPr="00860EE3" w:rsidRDefault="009B6926" w:rsidP="009E58FA">
            <w:pPr>
              <w:rPr>
                <w:rFonts w:ascii="Times New Roman" w:hAnsi="Times New Roman" w:cs="Times New Roman"/>
                <w:sz w:val="24"/>
                <w:szCs w:val="24"/>
              </w:rPr>
            </w:pPr>
          </w:p>
          <w:p w14:paraId="03C67C1A" w14:textId="1EFC9FF4" w:rsidR="00751AB6" w:rsidRPr="00860EE3" w:rsidRDefault="00577FEB" w:rsidP="00296E65">
            <w:pPr>
              <w:rPr>
                <w:rFonts w:ascii="Times New Roman" w:hAnsi="Times New Roman" w:cs="Times New Roman"/>
                <w:sz w:val="24"/>
                <w:szCs w:val="24"/>
              </w:rPr>
            </w:pPr>
            <w:r>
              <w:rPr>
                <w:rFonts w:ascii="Times New Roman" w:hAnsi="Times New Roman" w:cs="Times New Roman"/>
                <w:sz w:val="24"/>
                <w:szCs w:val="24"/>
              </w:rPr>
              <w:t xml:space="preserve">  </w:t>
            </w:r>
          </w:p>
          <w:p w14:paraId="6CA91234" w14:textId="77777777" w:rsidR="00751AB6" w:rsidRPr="00860EE3" w:rsidRDefault="00751AB6" w:rsidP="009E58FA">
            <w:pPr>
              <w:rPr>
                <w:rFonts w:ascii="Times New Roman" w:hAnsi="Times New Roman" w:cs="Times New Roman"/>
                <w:sz w:val="24"/>
                <w:szCs w:val="24"/>
              </w:rPr>
            </w:pPr>
          </w:p>
          <w:p w14:paraId="17145F20" w14:textId="77777777" w:rsidR="00751AB6" w:rsidRPr="00860EE3" w:rsidRDefault="00751AB6" w:rsidP="009E58FA">
            <w:pPr>
              <w:rPr>
                <w:rFonts w:ascii="Times New Roman" w:hAnsi="Times New Roman" w:cs="Times New Roman"/>
                <w:sz w:val="24"/>
                <w:szCs w:val="24"/>
              </w:rPr>
            </w:pPr>
          </w:p>
          <w:p w14:paraId="16447024" w14:textId="77777777" w:rsidR="00751AB6" w:rsidRPr="00860EE3" w:rsidRDefault="00751AB6" w:rsidP="009E58FA">
            <w:pPr>
              <w:rPr>
                <w:rFonts w:ascii="Times New Roman" w:hAnsi="Times New Roman" w:cs="Times New Roman"/>
                <w:sz w:val="24"/>
                <w:szCs w:val="24"/>
              </w:rPr>
            </w:pPr>
          </w:p>
          <w:p w14:paraId="361D79D0" w14:textId="77777777" w:rsidR="00751AB6" w:rsidRPr="00860EE3" w:rsidRDefault="00751AB6" w:rsidP="009E58FA">
            <w:pPr>
              <w:rPr>
                <w:rFonts w:ascii="Times New Roman" w:hAnsi="Times New Roman" w:cs="Times New Roman"/>
                <w:sz w:val="24"/>
                <w:szCs w:val="24"/>
              </w:rPr>
            </w:pPr>
          </w:p>
          <w:p w14:paraId="0A9BA439" w14:textId="77777777" w:rsidR="00751AB6" w:rsidRPr="00860EE3" w:rsidRDefault="00751AB6" w:rsidP="009E58FA">
            <w:pPr>
              <w:rPr>
                <w:rFonts w:ascii="Times New Roman" w:hAnsi="Times New Roman" w:cs="Times New Roman"/>
                <w:sz w:val="24"/>
                <w:szCs w:val="24"/>
              </w:rPr>
            </w:pPr>
          </w:p>
          <w:p w14:paraId="724809F3" w14:textId="23D70305" w:rsidR="00751AB6" w:rsidRPr="00860EE3" w:rsidRDefault="00751AB6" w:rsidP="009E58FA">
            <w:pPr>
              <w:rPr>
                <w:rFonts w:ascii="Times New Roman" w:hAnsi="Times New Roman" w:cs="Times New Roman"/>
                <w:sz w:val="24"/>
                <w:szCs w:val="24"/>
              </w:rPr>
            </w:pPr>
          </w:p>
        </w:tc>
      </w:tr>
    </w:tbl>
    <w:p w14:paraId="48F6C218" w14:textId="5EAA77AB" w:rsidR="00B13A99" w:rsidRDefault="00B13A99" w:rsidP="00A603DE">
      <w:pPr>
        <w:rPr>
          <w:rFonts w:ascii="Segoe UI" w:hAnsi="Segoe UI" w:cs="Segoe UI"/>
          <w:b/>
          <w:u w:val="single"/>
        </w:rPr>
      </w:pPr>
    </w:p>
    <w:p w14:paraId="65996E11" w14:textId="5C355002" w:rsidR="00A603DE" w:rsidRPr="00A603DE" w:rsidRDefault="00A603DE" w:rsidP="00A603DE">
      <w:pPr>
        <w:rPr>
          <w:rFonts w:ascii="Segoe UI" w:hAnsi="Segoe UI" w:cs="Segoe UI"/>
          <w:b/>
          <w:u w:val="single"/>
        </w:rPr>
      </w:pPr>
      <w:r w:rsidRPr="005A4E46">
        <w:rPr>
          <w:rFonts w:ascii="Segoe UI" w:hAnsi="Segoe UI" w:cs="Segoe UI"/>
          <w:b/>
          <w:u w:val="single"/>
        </w:rPr>
        <w:t>Degrees &amp; Certificates Conferred</w:t>
      </w:r>
    </w:p>
    <w:p w14:paraId="4A20780A" w14:textId="77777777" w:rsidR="00A603DE" w:rsidRPr="0081324D" w:rsidRDefault="00A603DE" w:rsidP="00A603DE">
      <w:pPr>
        <w:rPr>
          <w:rFonts w:ascii="Segoe UI" w:hAnsi="Segoe UI" w:cs="Segoe UI"/>
        </w:rPr>
      </w:pPr>
      <w:r w:rsidRPr="0081324D">
        <w:rPr>
          <w:rFonts w:ascii="Segoe UI" w:hAnsi="Segoe UI" w:cs="Segoe UI"/>
        </w:rPr>
        <w:t xml:space="preserve">For more information on awards: </w:t>
      </w:r>
      <w:hyperlink r:id="rId16" w:history="1">
        <w:r w:rsidRPr="0081324D">
          <w:rPr>
            <w:rStyle w:val="Hyperlink"/>
            <w:rFonts w:ascii="Segoe UI" w:hAnsi="Segoe UI" w:cs="Segoe UI"/>
            <w:b/>
            <w:bCs/>
            <w:color w:val="FF0000"/>
          </w:rPr>
          <w:t>Degrees &amp; Certificates Dashboard link</w:t>
        </w:r>
      </w:hyperlink>
    </w:p>
    <w:p w14:paraId="4176E074" w14:textId="642B8291" w:rsidR="00751AB6" w:rsidRPr="00751AB6" w:rsidRDefault="00751AB6" w:rsidP="00A603DE">
      <w:pPr>
        <w:rPr>
          <w:rFonts w:ascii="Segoe UI" w:hAnsi="Segoe UI" w:cs="Segoe UI"/>
          <w:b/>
          <w:bCs/>
        </w:rPr>
      </w:pPr>
      <w:r w:rsidRPr="00751AB6">
        <w:rPr>
          <w:rFonts w:ascii="Segoe UI" w:hAnsi="Segoe UI" w:cs="Segoe UI"/>
          <w:b/>
          <w:bCs/>
        </w:rPr>
        <w:t>Degrees and Certificates</w:t>
      </w:r>
    </w:p>
    <w:p w14:paraId="5AA9E6C1" w14:textId="63294632" w:rsidR="00A603DE" w:rsidRDefault="00A603DE" w:rsidP="00A603DE">
      <w:pPr>
        <w:rPr>
          <w:rFonts w:ascii="Segoe UI" w:hAnsi="Segoe UI" w:cs="Segoe UI"/>
        </w:rPr>
      </w:pPr>
      <w:r w:rsidRPr="0081324D">
        <w:rPr>
          <w:rFonts w:ascii="Segoe UI" w:hAnsi="Segoe UI" w:cs="Segoe UI"/>
        </w:rPr>
        <w:lastRenderedPageBreak/>
        <w:t xml:space="preserve">Increasing the number of students who complete a certificate or degree is a shared goal across CoA’s Ed Master Plan Goals, PCCD Goals, the Chancellor’s Office Vision for Success, the Student-Centered Funding Formula, and Guided Pathways. </w:t>
      </w:r>
    </w:p>
    <w:p w14:paraId="4306731F" w14:textId="03A6E1A9" w:rsidR="00A603DE" w:rsidRPr="0081324D" w:rsidRDefault="00A603DE" w:rsidP="00A603DE">
      <w:pPr>
        <w:rPr>
          <w:rFonts w:ascii="Segoe UI" w:hAnsi="Segoe UI" w:cs="Segoe UI"/>
        </w:rPr>
      </w:pPr>
      <w:r>
        <w:rPr>
          <w:rFonts w:ascii="Segoe UI" w:hAnsi="Segoe UI" w:cs="Segoe UI"/>
        </w:rPr>
        <w:t xml:space="preserve">How can your program contribute to </w:t>
      </w:r>
      <w:r w:rsidRPr="0081324D">
        <w:rPr>
          <w:rFonts w:ascii="Segoe UI" w:hAnsi="Segoe UI" w:cs="Segoe UI"/>
        </w:rPr>
        <w:t>increa</w:t>
      </w:r>
      <w:r w:rsidR="00B13A99">
        <w:rPr>
          <w:rFonts w:ascii="Segoe UI" w:hAnsi="Segoe UI" w:cs="Segoe UI"/>
        </w:rPr>
        <w:t>sing</w:t>
      </w:r>
      <w:r w:rsidRPr="0081324D">
        <w:rPr>
          <w:rFonts w:ascii="Segoe UI" w:hAnsi="Segoe UI" w:cs="Segoe UI"/>
        </w:rPr>
        <w:t xml:space="preserve"> the number of certificates and degrees awarded</w:t>
      </w:r>
      <w:r>
        <w:rPr>
          <w:rFonts w:ascii="Segoe UI" w:hAnsi="Segoe UI" w:cs="Segoe UI"/>
        </w:rPr>
        <w:t xml:space="preserve"> </w:t>
      </w:r>
      <w:r w:rsidR="00B13A99">
        <w:rPr>
          <w:rFonts w:ascii="Segoe UI" w:hAnsi="Segoe UI" w:cs="Segoe UI"/>
        </w:rPr>
        <w:t>over</w:t>
      </w:r>
      <w:r>
        <w:rPr>
          <w:rFonts w:ascii="Segoe UI" w:hAnsi="Segoe UI" w:cs="Segoe UI"/>
        </w:rPr>
        <w:t xml:space="preserve"> the next three years</w:t>
      </w:r>
      <w:r w:rsidRPr="0081324D">
        <w:rPr>
          <w:rFonts w:ascii="Segoe UI" w:hAnsi="Segoe UI" w:cs="Segoe UI"/>
        </w:rPr>
        <w:t>?</w:t>
      </w:r>
    </w:p>
    <w:tbl>
      <w:tblPr>
        <w:tblStyle w:val="TableGrid"/>
        <w:tblW w:w="9469" w:type="dxa"/>
        <w:tblLook w:val="04A0" w:firstRow="1" w:lastRow="0" w:firstColumn="1" w:lastColumn="0" w:noHBand="0" w:noVBand="1"/>
      </w:tblPr>
      <w:tblGrid>
        <w:gridCol w:w="9469"/>
      </w:tblGrid>
      <w:tr w:rsidR="00A603DE" w:rsidRPr="00860EE3" w14:paraId="3B3FADF8" w14:textId="77777777" w:rsidTr="002C0B40">
        <w:trPr>
          <w:trHeight w:val="1370"/>
        </w:trPr>
        <w:tc>
          <w:tcPr>
            <w:tcW w:w="9469" w:type="dxa"/>
          </w:tcPr>
          <w:p w14:paraId="1482D0AB" w14:textId="24CD975E" w:rsidR="00A603DE" w:rsidRPr="00F65390" w:rsidRDefault="00A603DE" w:rsidP="002C0B40">
            <w:pPr>
              <w:rPr>
                <w:rFonts w:ascii="Times New Roman" w:hAnsi="Times New Roman" w:cs="Times New Roman"/>
                <w:sz w:val="24"/>
                <w:szCs w:val="24"/>
                <w:highlight w:val="magenta"/>
              </w:rPr>
            </w:pPr>
            <w:bookmarkStart w:id="0" w:name="_Hlk56199954"/>
          </w:p>
          <w:p w14:paraId="13DD1210" w14:textId="77777777" w:rsidR="00AB0F53" w:rsidRDefault="00AB0F53" w:rsidP="002C0B40">
            <w:pPr>
              <w:rPr>
                <w:rFonts w:ascii="Times New Roman" w:hAnsi="Times New Roman" w:cs="Times New Roman"/>
                <w:sz w:val="24"/>
                <w:szCs w:val="24"/>
              </w:rPr>
            </w:pPr>
          </w:p>
          <w:p w14:paraId="0ABE229A" w14:textId="1C4F2C52" w:rsidR="00F65390" w:rsidRPr="00AB0F53" w:rsidRDefault="00AB0F53" w:rsidP="002C0B40">
            <w:pPr>
              <w:rPr>
                <w:rFonts w:ascii="Times New Roman" w:hAnsi="Times New Roman" w:cs="Times New Roman"/>
                <w:sz w:val="24"/>
                <w:szCs w:val="24"/>
              </w:rPr>
            </w:pPr>
            <w:r>
              <w:rPr>
                <w:rFonts w:ascii="Times New Roman" w:hAnsi="Times New Roman" w:cs="Times New Roman"/>
                <w:sz w:val="24"/>
                <w:szCs w:val="24"/>
              </w:rPr>
              <w:t>Health Services provides a lifeline for students in pursuing their educational goals.  We’re committed to supporting students and strategizing how to best capture data to display our department’s contribution moving forward.</w:t>
            </w:r>
          </w:p>
          <w:p w14:paraId="3FDC8871" w14:textId="77777777" w:rsidR="00AB0F53" w:rsidRDefault="00AB0F53" w:rsidP="002C0B40">
            <w:pPr>
              <w:rPr>
                <w:rFonts w:ascii="Times New Roman" w:hAnsi="Times New Roman" w:cs="Times New Roman"/>
                <w:sz w:val="24"/>
                <w:szCs w:val="24"/>
                <w:highlight w:val="magenta"/>
              </w:rPr>
            </w:pPr>
          </w:p>
          <w:p w14:paraId="697B5383" w14:textId="138573FA" w:rsidR="00AB0F53" w:rsidRPr="00AB0F53" w:rsidRDefault="00AB0F53" w:rsidP="002C0B40">
            <w:pPr>
              <w:rPr>
                <w:rFonts w:ascii="Times New Roman" w:hAnsi="Times New Roman" w:cs="Times New Roman"/>
                <w:sz w:val="24"/>
                <w:szCs w:val="24"/>
                <w:highlight w:val="magenta"/>
              </w:rPr>
            </w:pPr>
          </w:p>
        </w:tc>
      </w:tr>
      <w:bookmarkEnd w:id="0"/>
    </w:tbl>
    <w:p w14:paraId="15D2958F" w14:textId="77777777" w:rsidR="00F75149" w:rsidRDefault="00F75149" w:rsidP="00521806">
      <w:pPr>
        <w:rPr>
          <w:rFonts w:ascii="Segoe UI" w:hAnsi="Segoe UI" w:cs="Segoe UI"/>
          <w:b/>
          <w:bCs/>
        </w:rPr>
      </w:pPr>
    </w:p>
    <w:p w14:paraId="2C35DD86" w14:textId="77777777" w:rsidR="00366642" w:rsidRDefault="00366642" w:rsidP="00521806">
      <w:pPr>
        <w:rPr>
          <w:rFonts w:ascii="Segoe UI" w:hAnsi="Segoe UI" w:cs="Segoe UI"/>
          <w:b/>
          <w:bCs/>
        </w:rPr>
      </w:pPr>
    </w:p>
    <w:p w14:paraId="353DEDBE" w14:textId="77777777" w:rsidR="00366642" w:rsidRDefault="00366642" w:rsidP="00521806">
      <w:pPr>
        <w:rPr>
          <w:rFonts w:ascii="Segoe UI" w:hAnsi="Segoe UI" w:cs="Segoe UI"/>
          <w:b/>
          <w:bCs/>
        </w:rPr>
      </w:pPr>
    </w:p>
    <w:p w14:paraId="307ECD39" w14:textId="29802CA8" w:rsidR="00792E7B" w:rsidRPr="00FC2AC1" w:rsidRDefault="004A25AB" w:rsidP="00521806">
      <w:pPr>
        <w:rPr>
          <w:rFonts w:ascii="Segoe UI" w:hAnsi="Segoe UI" w:cs="Segoe UI"/>
          <w:b/>
          <w:bCs/>
        </w:rPr>
      </w:pPr>
      <w:r w:rsidRPr="00FC2AC1">
        <w:rPr>
          <w:rFonts w:ascii="Segoe UI" w:hAnsi="Segoe UI" w:cs="Segoe UI"/>
          <w:b/>
          <w:bCs/>
        </w:rPr>
        <w:t>Student Learning Outcomes Assessment</w:t>
      </w:r>
    </w:p>
    <w:p w14:paraId="0B93D78E" w14:textId="6B28D0CE" w:rsidR="004A25AB" w:rsidRPr="005A4E46" w:rsidRDefault="00F75149" w:rsidP="004A25AB">
      <w:pPr>
        <w:rPr>
          <w:rFonts w:ascii="Segoe UI" w:hAnsi="Segoe UI" w:cs="Segoe UI"/>
        </w:rPr>
      </w:pPr>
      <w:r>
        <w:rPr>
          <w:rFonts w:ascii="Segoe UI" w:hAnsi="Segoe UI" w:cs="Segoe UI"/>
        </w:rPr>
        <w:t>List your program’s</w:t>
      </w:r>
      <w:r w:rsidR="004A25AB" w:rsidRPr="005A4E46">
        <w:rPr>
          <w:rFonts w:ascii="Segoe UI" w:hAnsi="Segoe UI" w:cs="Segoe UI"/>
        </w:rPr>
        <w:t xml:space="preserve"> Student</w:t>
      </w:r>
      <w:r w:rsidR="00CE0F7E">
        <w:rPr>
          <w:rFonts w:ascii="Segoe UI" w:hAnsi="Segoe UI" w:cs="Segoe UI"/>
        </w:rPr>
        <w:t>/Service Area</w:t>
      </w:r>
      <w:r w:rsidR="004A25AB" w:rsidRPr="005A4E46">
        <w:rPr>
          <w:rFonts w:ascii="Segoe UI" w:hAnsi="Segoe UI" w:cs="Segoe UI"/>
        </w:rPr>
        <w:t xml:space="preserve"> Learning Outcomes</w:t>
      </w:r>
      <w:r w:rsidR="00CE0F7E">
        <w:rPr>
          <w:rFonts w:ascii="Segoe UI" w:hAnsi="Segoe UI" w:cs="Segoe UI"/>
        </w:rPr>
        <w:t xml:space="preserve"> that have been assessed in 2018-19 and 2019-20?</w:t>
      </w:r>
    </w:p>
    <w:tbl>
      <w:tblPr>
        <w:tblStyle w:val="TableGrid"/>
        <w:tblW w:w="9282" w:type="dxa"/>
        <w:tblLook w:val="04A0" w:firstRow="1" w:lastRow="0" w:firstColumn="1" w:lastColumn="0" w:noHBand="0" w:noVBand="1"/>
      </w:tblPr>
      <w:tblGrid>
        <w:gridCol w:w="9282"/>
      </w:tblGrid>
      <w:tr w:rsidR="004A25AB" w:rsidRPr="00E34E09" w14:paraId="28F0C48B" w14:textId="77777777" w:rsidTr="00CE0F7E">
        <w:trPr>
          <w:trHeight w:val="1024"/>
        </w:trPr>
        <w:tc>
          <w:tcPr>
            <w:tcW w:w="9282" w:type="dxa"/>
          </w:tcPr>
          <w:p w14:paraId="25D99FB2" w14:textId="77777777" w:rsidR="005D4C45" w:rsidRPr="00AF5B26" w:rsidRDefault="005D4C45" w:rsidP="005D4C45">
            <w:pPr>
              <w:numPr>
                <w:ilvl w:val="0"/>
                <w:numId w:val="15"/>
              </w:numPr>
              <w:shd w:val="clear" w:color="auto" w:fill="FFFFFF"/>
              <w:jc w:val="left"/>
              <w:textAlignment w:val="baseline"/>
              <w:rPr>
                <w:rFonts w:ascii="Times New Roman" w:hAnsi="Times New Roman" w:cs="Times New Roman"/>
              </w:rPr>
            </w:pPr>
            <w:r w:rsidRPr="00AF5B26">
              <w:rPr>
                <w:rStyle w:val="Strong"/>
                <w:rFonts w:ascii="Times New Roman" w:hAnsi="Times New Roman" w:cs="Times New Roman"/>
                <w:b w:val="0"/>
                <w:bCs w:val="0"/>
                <w:bdr w:val="none" w:sz="0" w:space="0" w:color="auto" w:frame="1"/>
              </w:rPr>
              <w:t>Healthier Decisions: Students will be able to utilize the necessary information, resources, and options available for them to make sound educational, emotional, and health-related lifelong decisions.</w:t>
            </w:r>
            <w:r w:rsidRPr="00AF5B26">
              <w:rPr>
                <w:rStyle w:val="Strong"/>
                <w:rFonts w:ascii="Times New Roman" w:hAnsi="Times New Roman" w:cs="Times New Roman"/>
                <w:bdr w:val="none" w:sz="0" w:space="0" w:color="auto" w:frame="1"/>
              </w:rPr>
              <w:t> </w:t>
            </w:r>
            <w:r w:rsidRPr="00AF5B26">
              <w:rPr>
                <w:rFonts w:ascii="Times New Roman" w:hAnsi="Times New Roman" w:cs="Times New Roman"/>
              </w:rPr>
              <w:t>(ILO 1 Problem Solving &amp; Decision Making; ILO 4 Interpersonal Skills; ILO 5 Civic Responsibility)</w:t>
            </w:r>
          </w:p>
          <w:p w14:paraId="28D04589" w14:textId="77777777" w:rsidR="005D4C45" w:rsidRPr="00AF5B26" w:rsidRDefault="005D4C45" w:rsidP="005D4C45">
            <w:pPr>
              <w:numPr>
                <w:ilvl w:val="0"/>
                <w:numId w:val="15"/>
              </w:numPr>
              <w:shd w:val="clear" w:color="auto" w:fill="FFFFFF"/>
              <w:jc w:val="left"/>
              <w:textAlignment w:val="baseline"/>
              <w:rPr>
                <w:rFonts w:ascii="Times New Roman" w:hAnsi="Times New Roman" w:cs="Times New Roman"/>
              </w:rPr>
            </w:pPr>
            <w:r w:rsidRPr="00AF5B26">
              <w:rPr>
                <w:rStyle w:val="Strong"/>
                <w:rFonts w:ascii="Times New Roman" w:hAnsi="Times New Roman" w:cs="Times New Roman"/>
                <w:b w:val="0"/>
                <w:bCs w:val="0"/>
                <w:bdr w:val="none" w:sz="0" w:space="0" w:color="auto" w:frame="1"/>
              </w:rPr>
              <w:t>Improved coping: Students will be able to identify healthier coping skills and strategies for maintaining wellness, managing stress, managing anger, or meeting personal goals.</w:t>
            </w:r>
            <w:r w:rsidRPr="00AF5B26">
              <w:rPr>
                <w:rFonts w:ascii="Times New Roman" w:hAnsi="Times New Roman" w:cs="Times New Roman"/>
                <w:bdr w:val="none" w:sz="0" w:space="0" w:color="auto" w:frame="1"/>
              </w:rPr>
              <w:br/>
            </w:r>
            <w:r w:rsidRPr="00AF5B26">
              <w:rPr>
                <w:rFonts w:ascii="Times New Roman" w:hAnsi="Times New Roman" w:cs="Times New Roman"/>
              </w:rPr>
              <w:t>(ILO 1 Problem Solving &amp; Decision Making; ILO 4 Interpersonal Skills; ILO 5 Civic Responsibility)</w:t>
            </w:r>
          </w:p>
          <w:p w14:paraId="27E646FE" w14:textId="27123977" w:rsidR="004A25AB" w:rsidRDefault="004A25AB" w:rsidP="005D4C45">
            <w:pPr>
              <w:rPr>
                <w:rFonts w:ascii="Times New Roman" w:hAnsi="Times New Roman" w:cs="Times New Roman"/>
                <w:sz w:val="24"/>
                <w:szCs w:val="24"/>
              </w:rPr>
            </w:pPr>
          </w:p>
          <w:p w14:paraId="0133553D" w14:textId="19FEF1E4" w:rsidR="00DE56BC" w:rsidRDefault="00DE56BC" w:rsidP="005D4C45">
            <w:pPr>
              <w:rPr>
                <w:rFonts w:ascii="Times New Roman" w:hAnsi="Times New Roman" w:cs="Times New Roman"/>
                <w:sz w:val="24"/>
                <w:szCs w:val="24"/>
              </w:rPr>
            </w:pPr>
            <w:r>
              <w:rPr>
                <w:rFonts w:ascii="Times New Roman" w:hAnsi="Times New Roman" w:cs="Times New Roman"/>
                <w:sz w:val="24"/>
                <w:szCs w:val="24"/>
              </w:rPr>
              <w:t>Our records show the above SLO’s were assessed in the past. Since there is a new Health Services Coordinator, the department will reassess SLO’s and create effective surveys moving forward.</w:t>
            </w:r>
          </w:p>
          <w:p w14:paraId="26195FBC" w14:textId="77777777" w:rsidR="005C5524" w:rsidRPr="00CE0F7E" w:rsidRDefault="005C5524" w:rsidP="00CE0F7E">
            <w:pPr>
              <w:rPr>
                <w:rFonts w:ascii="Times New Roman" w:hAnsi="Times New Roman" w:cs="Times New Roman"/>
                <w:sz w:val="24"/>
                <w:szCs w:val="24"/>
              </w:rPr>
            </w:pPr>
          </w:p>
          <w:p w14:paraId="41C11FE1" w14:textId="519040F9" w:rsidR="005C5524" w:rsidRPr="00E34E09" w:rsidRDefault="005C5524" w:rsidP="00FC2AC1">
            <w:pPr>
              <w:pStyle w:val="ListParagraph"/>
              <w:rPr>
                <w:rFonts w:ascii="Times New Roman" w:hAnsi="Times New Roman" w:cs="Times New Roman"/>
                <w:sz w:val="24"/>
                <w:szCs w:val="24"/>
              </w:rPr>
            </w:pPr>
          </w:p>
        </w:tc>
      </w:tr>
    </w:tbl>
    <w:p w14:paraId="69B06029" w14:textId="77777777" w:rsidR="00856162" w:rsidRDefault="00856162" w:rsidP="0025722D">
      <w:pPr>
        <w:rPr>
          <w:rFonts w:ascii="Segoe UI" w:hAnsi="Segoe UI" w:cs="Segoe UI"/>
        </w:rPr>
      </w:pPr>
    </w:p>
    <w:p w14:paraId="47639C18" w14:textId="77777777" w:rsidR="00856162" w:rsidRDefault="00792E7B" w:rsidP="00D90F1F">
      <w:pPr>
        <w:jc w:val="left"/>
        <w:rPr>
          <w:rFonts w:ascii="Segoe UI" w:hAnsi="Segoe UI" w:cs="Segoe UI"/>
        </w:rPr>
      </w:pPr>
      <w:r w:rsidRPr="005A4E46">
        <w:rPr>
          <w:rFonts w:ascii="Segoe UI" w:hAnsi="Segoe UI" w:cs="Segoe UI"/>
        </w:rPr>
        <w:t xml:space="preserve">How has your dept worked together on assessment (planning together)? </w:t>
      </w:r>
      <w:r w:rsidR="009C6BFE">
        <w:rPr>
          <w:rFonts w:ascii="Segoe UI" w:hAnsi="Segoe UI" w:cs="Segoe UI"/>
        </w:rPr>
        <w:t xml:space="preserve">Include the challenges and the successes. </w:t>
      </w:r>
      <w:r w:rsidRPr="005A4E46">
        <w:rPr>
          <w:rFonts w:ascii="Segoe UI" w:hAnsi="Segoe UI" w:cs="Segoe UI"/>
        </w:rPr>
        <w:t>What aspects of assessment work went especially well in your department and what improvements are most needed?</w:t>
      </w:r>
      <w:r w:rsidR="00996225">
        <w:rPr>
          <w:rFonts w:ascii="Segoe UI" w:hAnsi="Segoe UI" w:cs="Segoe UI"/>
        </w:rPr>
        <w:t xml:space="preserve"> </w:t>
      </w:r>
    </w:p>
    <w:p w14:paraId="03D5A56E" w14:textId="1556FB65" w:rsidR="0025722D" w:rsidRPr="005A4E46" w:rsidRDefault="00996225" w:rsidP="00D90F1F">
      <w:pPr>
        <w:jc w:val="left"/>
        <w:rPr>
          <w:rFonts w:ascii="Segoe UI" w:hAnsi="Segoe UI" w:cs="Segoe UI"/>
        </w:rPr>
      </w:pPr>
      <w:r>
        <w:rPr>
          <w:rFonts w:ascii="Segoe UI" w:hAnsi="Segoe UI" w:cs="Segoe UI"/>
        </w:rPr>
        <w:t>Detail the p</w:t>
      </w:r>
      <w:r w:rsidR="0025722D" w:rsidRPr="005A4E46">
        <w:rPr>
          <w:rFonts w:ascii="Segoe UI" w:hAnsi="Segoe UI" w:cs="Segoe UI"/>
        </w:rPr>
        <w:t>lanning</w:t>
      </w:r>
      <w:r>
        <w:rPr>
          <w:rFonts w:ascii="Segoe UI" w:hAnsi="Segoe UI" w:cs="Segoe UI"/>
        </w:rPr>
        <w:t xml:space="preserve"> p</w:t>
      </w:r>
      <w:r w:rsidR="0025722D" w:rsidRPr="005A4E46">
        <w:rPr>
          <w:rFonts w:ascii="Segoe UI" w:hAnsi="Segoe UI" w:cs="Segoe UI"/>
        </w:rPr>
        <w:t>rocess</w:t>
      </w:r>
      <w:r>
        <w:rPr>
          <w:rFonts w:ascii="Segoe UI" w:hAnsi="Segoe UI" w:cs="Segoe UI"/>
        </w:rPr>
        <w:t xml:space="preserve">, examples of collaboration with other depts or faculty members, roles in leadership and how the dept used </w:t>
      </w:r>
      <w:r w:rsidR="00856162" w:rsidRPr="00856162">
        <w:rPr>
          <w:rFonts w:ascii="Segoe UI" w:hAnsi="Segoe UI" w:cs="Segoe UI"/>
        </w:rPr>
        <w:t>student satisfaction surveys</w:t>
      </w:r>
      <w:r w:rsidR="00856162">
        <w:rPr>
          <w:rFonts w:ascii="Segoe UI" w:hAnsi="Segoe UI" w:cs="Segoe UI"/>
        </w:rPr>
        <w:t>,</w:t>
      </w:r>
      <w:r w:rsidR="00856162" w:rsidRPr="00856162">
        <w:rPr>
          <w:rFonts w:ascii="Segoe UI" w:hAnsi="Segoe UI" w:cs="Segoe UI"/>
        </w:rPr>
        <w:t xml:space="preserve"> college surveys</w:t>
      </w:r>
      <w:r w:rsidR="00D90F1F">
        <w:rPr>
          <w:rFonts w:ascii="Segoe UI" w:hAnsi="Segoe UI" w:cs="Segoe UI"/>
        </w:rPr>
        <w:t xml:space="preserve"> or outcome</w:t>
      </w:r>
      <w:r w:rsidR="00856162" w:rsidRPr="00856162">
        <w:rPr>
          <w:rFonts w:ascii="Segoe UI" w:hAnsi="Segoe UI" w:cs="Segoe UI"/>
        </w:rPr>
        <w:t xml:space="preserve"> </w:t>
      </w:r>
      <w:r>
        <w:rPr>
          <w:rFonts w:ascii="Segoe UI" w:hAnsi="Segoe UI" w:cs="Segoe UI"/>
        </w:rPr>
        <w:t xml:space="preserve">data to assess. </w:t>
      </w:r>
    </w:p>
    <w:tbl>
      <w:tblPr>
        <w:tblStyle w:val="TableGrid"/>
        <w:tblW w:w="0" w:type="auto"/>
        <w:tblLook w:val="04A0" w:firstRow="1" w:lastRow="0" w:firstColumn="1" w:lastColumn="0" w:noHBand="0" w:noVBand="1"/>
      </w:tblPr>
      <w:tblGrid>
        <w:gridCol w:w="9320"/>
      </w:tblGrid>
      <w:tr w:rsidR="0025722D" w:rsidRPr="009C6BFE" w14:paraId="253B399D" w14:textId="77777777" w:rsidTr="002C0B40">
        <w:trPr>
          <w:trHeight w:val="974"/>
        </w:trPr>
        <w:tc>
          <w:tcPr>
            <w:tcW w:w="9320" w:type="dxa"/>
          </w:tcPr>
          <w:p w14:paraId="60288123" w14:textId="77777777" w:rsidR="00AF5B26" w:rsidRDefault="00AF5B26" w:rsidP="002C0B40">
            <w:pPr>
              <w:rPr>
                <w:rFonts w:ascii="Times New Roman" w:hAnsi="Times New Roman" w:cs="Times New Roman"/>
                <w:sz w:val="24"/>
                <w:szCs w:val="24"/>
              </w:rPr>
            </w:pPr>
          </w:p>
          <w:p w14:paraId="762D0606" w14:textId="19CF60A0" w:rsidR="00DC0077" w:rsidRDefault="00DC0077" w:rsidP="002C0B40">
            <w:pPr>
              <w:rPr>
                <w:rFonts w:ascii="Times New Roman" w:hAnsi="Times New Roman" w:cs="Times New Roman"/>
                <w:sz w:val="24"/>
                <w:szCs w:val="24"/>
              </w:rPr>
            </w:pPr>
            <w:r>
              <w:rPr>
                <w:rFonts w:ascii="Times New Roman" w:hAnsi="Times New Roman" w:cs="Times New Roman"/>
                <w:sz w:val="24"/>
                <w:szCs w:val="24"/>
              </w:rPr>
              <w:t>Health Services is currently a o</w:t>
            </w:r>
            <w:r w:rsidR="00EB1C77">
              <w:rPr>
                <w:rFonts w:ascii="Times New Roman" w:hAnsi="Times New Roman" w:cs="Times New Roman"/>
                <w:sz w:val="24"/>
                <w:szCs w:val="24"/>
              </w:rPr>
              <w:t>ne</w:t>
            </w:r>
            <w:r>
              <w:rPr>
                <w:rFonts w:ascii="Times New Roman" w:hAnsi="Times New Roman" w:cs="Times New Roman"/>
                <w:sz w:val="24"/>
                <w:szCs w:val="24"/>
              </w:rPr>
              <w:t>-</w:t>
            </w:r>
            <w:r w:rsidR="00EB1C77">
              <w:rPr>
                <w:rFonts w:ascii="Times New Roman" w:hAnsi="Times New Roman" w:cs="Times New Roman"/>
                <w:sz w:val="24"/>
                <w:szCs w:val="24"/>
              </w:rPr>
              <w:t>person team,</w:t>
            </w:r>
            <w:r>
              <w:rPr>
                <w:rFonts w:ascii="Times New Roman" w:hAnsi="Times New Roman" w:cs="Times New Roman"/>
                <w:sz w:val="24"/>
                <w:szCs w:val="24"/>
              </w:rPr>
              <w:t xml:space="preserve"> and the Coordinator will move forward by </w:t>
            </w:r>
            <w:r w:rsidR="00EB1C77">
              <w:rPr>
                <w:rFonts w:ascii="Times New Roman" w:hAnsi="Times New Roman" w:cs="Times New Roman"/>
                <w:sz w:val="24"/>
                <w:szCs w:val="24"/>
              </w:rPr>
              <w:t>planning</w:t>
            </w:r>
            <w:r>
              <w:rPr>
                <w:rFonts w:ascii="Times New Roman" w:hAnsi="Times New Roman" w:cs="Times New Roman"/>
                <w:sz w:val="24"/>
                <w:szCs w:val="24"/>
              </w:rPr>
              <w:t xml:space="preserve"> and collaborating across departments at College of Alameda and the district </w:t>
            </w:r>
            <w:r w:rsidR="00AF5B26">
              <w:rPr>
                <w:rFonts w:ascii="Times New Roman" w:hAnsi="Times New Roman" w:cs="Times New Roman"/>
                <w:sz w:val="24"/>
                <w:szCs w:val="24"/>
              </w:rPr>
              <w:t>in order to obtain</w:t>
            </w:r>
            <w:r>
              <w:rPr>
                <w:rFonts w:ascii="Times New Roman" w:hAnsi="Times New Roman" w:cs="Times New Roman"/>
                <w:sz w:val="24"/>
                <w:szCs w:val="24"/>
              </w:rPr>
              <w:t xml:space="preserve"> be able to</w:t>
            </w:r>
            <w:r w:rsidR="00AF5B26">
              <w:rPr>
                <w:rFonts w:ascii="Times New Roman" w:hAnsi="Times New Roman" w:cs="Times New Roman"/>
                <w:sz w:val="24"/>
                <w:szCs w:val="24"/>
              </w:rPr>
              <w:t xml:space="preserve"> v</w:t>
            </w:r>
            <w:r>
              <w:rPr>
                <w:rFonts w:ascii="Times New Roman" w:hAnsi="Times New Roman" w:cs="Times New Roman"/>
                <w:sz w:val="24"/>
                <w:szCs w:val="24"/>
              </w:rPr>
              <w:t xml:space="preserve">aluable feedback (DSPS, learning communities, student services area, across district health services staff and faculty, </w:t>
            </w:r>
            <w:r w:rsidR="00AF5B26">
              <w:rPr>
                <w:rFonts w:ascii="Times New Roman" w:hAnsi="Times New Roman" w:cs="Times New Roman"/>
                <w:sz w:val="24"/>
                <w:szCs w:val="24"/>
              </w:rPr>
              <w:t>etc.</w:t>
            </w:r>
            <w:r>
              <w:rPr>
                <w:rFonts w:ascii="Times New Roman" w:hAnsi="Times New Roman" w:cs="Times New Roman"/>
                <w:sz w:val="24"/>
                <w:szCs w:val="24"/>
              </w:rPr>
              <w:t>)</w:t>
            </w:r>
          </w:p>
          <w:p w14:paraId="2369C699" w14:textId="421B424E" w:rsidR="00DC0077" w:rsidRDefault="00DC0077" w:rsidP="002C0B40">
            <w:pPr>
              <w:rPr>
                <w:rFonts w:ascii="Times New Roman" w:hAnsi="Times New Roman" w:cs="Times New Roman"/>
                <w:sz w:val="24"/>
                <w:szCs w:val="24"/>
              </w:rPr>
            </w:pPr>
            <w:r>
              <w:rPr>
                <w:rFonts w:ascii="Times New Roman" w:hAnsi="Times New Roman" w:cs="Times New Roman"/>
                <w:sz w:val="24"/>
                <w:szCs w:val="24"/>
              </w:rPr>
              <w:t xml:space="preserve">Health Services Coordinator will work closely with the Dean of Enrollment Services and Director of College Research &amp; Planning to discuss challenges and areas that need improvement. </w:t>
            </w:r>
            <w:r w:rsidR="00EB1C77">
              <w:rPr>
                <w:rFonts w:ascii="Times New Roman" w:hAnsi="Times New Roman" w:cs="Times New Roman"/>
                <w:sz w:val="24"/>
                <w:szCs w:val="24"/>
              </w:rPr>
              <w:t xml:space="preserve"> </w:t>
            </w:r>
            <w:r>
              <w:rPr>
                <w:rFonts w:ascii="Times New Roman" w:hAnsi="Times New Roman" w:cs="Times New Roman"/>
                <w:sz w:val="24"/>
                <w:szCs w:val="24"/>
              </w:rPr>
              <w:t>There will also be planning in creating student satisfaction surveys that support SLO’s and best practices in supporting student success moving forward.</w:t>
            </w:r>
          </w:p>
          <w:p w14:paraId="2828A027" w14:textId="3994AEDE" w:rsidR="00996225" w:rsidRPr="00F65390" w:rsidRDefault="00996225" w:rsidP="002C0B40">
            <w:pPr>
              <w:rPr>
                <w:rFonts w:ascii="Times New Roman" w:hAnsi="Times New Roman" w:cs="Times New Roman"/>
                <w:sz w:val="24"/>
                <w:szCs w:val="24"/>
              </w:rPr>
            </w:pPr>
          </w:p>
          <w:p w14:paraId="1805450E" w14:textId="1D36EBBA" w:rsidR="00996225" w:rsidRPr="00F65390" w:rsidRDefault="00996225" w:rsidP="002C0B40">
            <w:pPr>
              <w:rPr>
                <w:rFonts w:ascii="Times New Roman" w:hAnsi="Times New Roman" w:cs="Times New Roman"/>
                <w:color w:val="40739B" w:themeColor="background2" w:themeShade="80"/>
                <w:sz w:val="24"/>
                <w:szCs w:val="24"/>
              </w:rPr>
            </w:pPr>
          </w:p>
          <w:p w14:paraId="5EFDF68A" w14:textId="77777777" w:rsidR="00996225" w:rsidRPr="009C6BFE" w:rsidRDefault="00996225" w:rsidP="002C0B40">
            <w:pPr>
              <w:rPr>
                <w:rFonts w:ascii="Times New Roman" w:hAnsi="Times New Roman" w:cs="Times New Roman"/>
                <w:sz w:val="24"/>
                <w:szCs w:val="24"/>
              </w:rPr>
            </w:pPr>
          </w:p>
          <w:p w14:paraId="6E0A891E" w14:textId="77777777" w:rsidR="0025722D" w:rsidRPr="009C6BFE" w:rsidRDefault="0025722D" w:rsidP="002C0B40">
            <w:pPr>
              <w:rPr>
                <w:rFonts w:ascii="Times New Roman" w:hAnsi="Times New Roman" w:cs="Times New Roman"/>
                <w:sz w:val="24"/>
                <w:szCs w:val="24"/>
              </w:rPr>
            </w:pPr>
          </w:p>
        </w:tc>
      </w:tr>
    </w:tbl>
    <w:p w14:paraId="3983996C" w14:textId="41B9A636" w:rsidR="005C5524" w:rsidRDefault="005C5524" w:rsidP="004A25AB">
      <w:pPr>
        <w:rPr>
          <w:rFonts w:ascii="Segoe UI" w:hAnsi="Segoe UI" w:cs="Segoe UI"/>
        </w:rPr>
      </w:pPr>
    </w:p>
    <w:p w14:paraId="05416C6C" w14:textId="6CA20043" w:rsidR="00792E7B" w:rsidRPr="00996225" w:rsidRDefault="00792E7B" w:rsidP="00996225">
      <w:pPr>
        <w:jc w:val="left"/>
        <w:rPr>
          <w:rFonts w:ascii="Segoe UI" w:hAnsi="Segoe UI" w:cs="Segoe UI"/>
        </w:rPr>
      </w:pPr>
      <w:r w:rsidRPr="00996225">
        <w:rPr>
          <w:rFonts w:ascii="Segoe UI" w:hAnsi="Segoe UI" w:cs="Segoe UI"/>
        </w:rPr>
        <w:t xml:space="preserve">What were the most important things your department learned from assessment? Did implementation of your action plans result in </w:t>
      </w:r>
      <w:r w:rsidR="00D90F1F">
        <w:rPr>
          <w:rFonts w:ascii="Segoe UI" w:hAnsi="Segoe UI" w:cs="Segoe UI"/>
        </w:rPr>
        <w:t>expansion or improvement of your departments service to students</w:t>
      </w:r>
      <w:r w:rsidRPr="00996225">
        <w:rPr>
          <w:rFonts w:ascii="Segoe UI" w:hAnsi="Segoe UI" w:cs="Segoe UI"/>
        </w:rPr>
        <w:t xml:space="preserve">? </w:t>
      </w:r>
      <w:r w:rsidR="00CE0F7E">
        <w:rPr>
          <w:rFonts w:ascii="Segoe UI" w:hAnsi="Segoe UI" w:cs="Segoe UI"/>
        </w:rPr>
        <w:t xml:space="preserve">If </w:t>
      </w:r>
      <w:r w:rsidR="00DE33D4">
        <w:rPr>
          <w:rFonts w:ascii="Segoe UI" w:hAnsi="Segoe UI" w:cs="Segoe UI"/>
        </w:rPr>
        <w:t>so,</w:t>
      </w:r>
      <w:r w:rsidR="00CE0F7E">
        <w:rPr>
          <w:rFonts w:ascii="Segoe UI" w:hAnsi="Segoe UI" w:cs="Segoe UI"/>
        </w:rPr>
        <w:t xml:space="preserve"> please explain</w:t>
      </w:r>
      <w:r w:rsidR="00BF0214">
        <w:rPr>
          <w:rFonts w:ascii="Segoe UI" w:hAnsi="Segoe UI" w:cs="Segoe UI"/>
        </w:rPr>
        <w:t>:</w:t>
      </w:r>
    </w:p>
    <w:tbl>
      <w:tblPr>
        <w:tblStyle w:val="TableGrid"/>
        <w:tblW w:w="9364" w:type="dxa"/>
        <w:tblLook w:val="04A0" w:firstRow="1" w:lastRow="0" w:firstColumn="1" w:lastColumn="0" w:noHBand="0" w:noVBand="1"/>
      </w:tblPr>
      <w:tblGrid>
        <w:gridCol w:w="9364"/>
      </w:tblGrid>
      <w:tr w:rsidR="004A25AB" w:rsidRPr="00860EE3" w14:paraId="3F9F5A0A" w14:textId="77777777" w:rsidTr="00F75149">
        <w:trPr>
          <w:trHeight w:val="1542"/>
        </w:trPr>
        <w:tc>
          <w:tcPr>
            <w:tcW w:w="9364" w:type="dxa"/>
          </w:tcPr>
          <w:p w14:paraId="05427734" w14:textId="77777777" w:rsidR="004A25AB" w:rsidRDefault="004A25AB" w:rsidP="004A25AB">
            <w:pPr>
              <w:rPr>
                <w:rFonts w:ascii="Times New Roman" w:hAnsi="Times New Roman" w:cs="Times New Roman"/>
                <w:sz w:val="24"/>
                <w:szCs w:val="24"/>
              </w:rPr>
            </w:pPr>
          </w:p>
          <w:p w14:paraId="39E920E2" w14:textId="6D6E30B8" w:rsidR="00DC0077" w:rsidRPr="00860EE3" w:rsidRDefault="00DC0077" w:rsidP="004A25AB">
            <w:pPr>
              <w:rPr>
                <w:rFonts w:ascii="Times New Roman" w:hAnsi="Times New Roman" w:cs="Times New Roman"/>
                <w:sz w:val="24"/>
                <w:szCs w:val="24"/>
              </w:rPr>
            </w:pPr>
            <w:r>
              <w:rPr>
                <w:rFonts w:ascii="Times New Roman" w:hAnsi="Times New Roman" w:cs="Times New Roman"/>
                <w:sz w:val="24"/>
                <w:szCs w:val="24"/>
              </w:rPr>
              <w:t>Since Health Services Coordinator was hired in the middle of the pandemic and before the fall 2020 academic semester, the assessment will be a work in progress.  The next program review will have more comprehensive updates.</w:t>
            </w:r>
          </w:p>
        </w:tc>
      </w:tr>
    </w:tbl>
    <w:p w14:paraId="20A1ACBF" w14:textId="77777777" w:rsidR="00366642" w:rsidRDefault="00366642" w:rsidP="004A25AB">
      <w:pPr>
        <w:rPr>
          <w:rFonts w:ascii="Segoe UI" w:hAnsi="Segoe UI" w:cs="Segoe UI"/>
        </w:rPr>
      </w:pPr>
    </w:p>
    <w:p w14:paraId="0A6F8A99" w14:textId="6293EEBE" w:rsidR="00792E7B" w:rsidRPr="005A4E46" w:rsidRDefault="00792E7B" w:rsidP="004A25AB">
      <w:pPr>
        <w:rPr>
          <w:rFonts w:ascii="Segoe UI" w:hAnsi="Segoe UI" w:cs="Segoe UI"/>
        </w:rPr>
      </w:pPr>
      <w:r w:rsidRPr="005A4E46">
        <w:rPr>
          <w:rFonts w:ascii="Segoe UI" w:hAnsi="Segoe UI" w:cs="Segoe UI"/>
        </w:rPr>
        <w:t>What support does your department need from administrators, assessment coordinators and/or your campus assessment committee to continue to make progress in assessment of outcomes and implementation of action plans?</w:t>
      </w:r>
    </w:p>
    <w:tbl>
      <w:tblPr>
        <w:tblStyle w:val="TableGrid"/>
        <w:tblW w:w="9469" w:type="dxa"/>
        <w:tblLook w:val="04A0" w:firstRow="1" w:lastRow="0" w:firstColumn="1" w:lastColumn="0" w:noHBand="0" w:noVBand="1"/>
      </w:tblPr>
      <w:tblGrid>
        <w:gridCol w:w="9469"/>
      </w:tblGrid>
      <w:tr w:rsidR="004A25AB" w:rsidRPr="00856162" w14:paraId="41EE8187" w14:textId="77777777" w:rsidTr="004A25AB">
        <w:trPr>
          <w:trHeight w:val="1384"/>
        </w:trPr>
        <w:tc>
          <w:tcPr>
            <w:tcW w:w="9469" w:type="dxa"/>
          </w:tcPr>
          <w:p w14:paraId="55E44769" w14:textId="77777777" w:rsidR="004A25AB" w:rsidRPr="00856162" w:rsidRDefault="004A25AB" w:rsidP="004A25AB">
            <w:pPr>
              <w:rPr>
                <w:rFonts w:ascii="Times New Roman" w:hAnsi="Times New Roman" w:cs="Times New Roman"/>
                <w:sz w:val="24"/>
                <w:szCs w:val="24"/>
              </w:rPr>
            </w:pPr>
          </w:p>
          <w:p w14:paraId="7899710F" w14:textId="1F5342BD" w:rsidR="005C5524" w:rsidRPr="00856162" w:rsidRDefault="00EB1C77" w:rsidP="004A25AB">
            <w:pPr>
              <w:rPr>
                <w:rFonts w:ascii="Times New Roman" w:hAnsi="Times New Roman" w:cs="Times New Roman"/>
                <w:sz w:val="24"/>
                <w:szCs w:val="24"/>
              </w:rPr>
            </w:pPr>
            <w:r>
              <w:rPr>
                <w:rFonts w:ascii="Times New Roman" w:hAnsi="Times New Roman" w:cs="Times New Roman"/>
                <w:sz w:val="24"/>
                <w:szCs w:val="24"/>
              </w:rPr>
              <w:t>Will need support from</w:t>
            </w:r>
            <w:r w:rsidR="0012395E">
              <w:rPr>
                <w:rFonts w:ascii="Times New Roman" w:hAnsi="Times New Roman" w:cs="Times New Roman"/>
                <w:sz w:val="24"/>
                <w:szCs w:val="24"/>
              </w:rPr>
              <w:t xml:space="preserve"> Dean of Enrollment Services to gain a better understanding of past assessment best practices and areas of focus in moving forward.  Will also need the </w:t>
            </w:r>
            <w:r>
              <w:rPr>
                <w:rFonts w:ascii="Times New Roman" w:hAnsi="Times New Roman" w:cs="Times New Roman"/>
                <w:sz w:val="24"/>
                <w:szCs w:val="24"/>
              </w:rPr>
              <w:t xml:space="preserve"> Director of Research &amp; College Planning to pull dat</w:t>
            </w:r>
            <w:r w:rsidR="0012395E">
              <w:rPr>
                <w:rFonts w:ascii="Times New Roman" w:hAnsi="Times New Roman" w:cs="Times New Roman"/>
                <w:sz w:val="24"/>
                <w:szCs w:val="24"/>
              </w:rPr>
              <w:t>a and help create student satisfaction surveys.  C</w:t>
            </w:r>
            <w:r>
              <w:rPr>
                <w:rFonts w:ascii="Times New Roman" w:hAnsi="Times New Roman" w:cs="Times New Roman"/>
                <w:sz w:val="24"/>
                <w:szCs w:val="24"/>
              </w:rPr>
              <w:t xml:space="preserve">ollaboration with other departments and </w:t>
            </w:r>
            <w:r w:rsidR="0012395E">
              <w:rPr>
                <w:rFonts w:ascii="Times New Roman" w:hAnsi="Times New Roman" w:cs="Times New Roman"/>
                <w:sz w:val="24"/>
                <w:szCs w:val="24"/>
              </w:rPr>
              <w:t xml:space="preserve">creating space to hear </w:t>
            </w:r>
            <w:r>
              <w:rPr>
                <w:rFonts w:ascii="Times New Roman" w:hAnsi="Times New Roman" w:cs="Times New Roman"/>
                <w:sz w:val="24"/>
                <w:szCs w:val="24"/>
              </w:rPr>
              <w:t>student voices</w:t>
            </w:r>
            <w:r w:rsidR="0012395E">
              <w:rPr>
                <w:rFonts w:ascii="Times New Roman" w:hAnsi="Times New Roman" w:cs="Times New Roman"/>
                <w:sz w:val="24"/>
                <w:szCs w:val="24"/>
              </w:rPr>
              <w:t xml:space="preserve"> will be critical in order</w:t>
            </w:r>
            <w:r>
              <w:rPr>
                <w:rFonts w:ascii="Times New Roman" w:hAnsi="Times New Roman" w:cs="Times New Roman"/>
                <w:sz w:val="24"/>
                <w:szCs w:val="24"/>
              </w:rPr>
              <w:t xml:space="preserve"> to ensure SLO’s and goals that make sense for the department. </w:t>
            </w:r>
          </w:p>
          <w:p w14:paraId="7A7D7996" w14:textId="77777777" w:rsidR="005C5524" w:rsidRPr="00856162" w:rsidRDefault="005C5524" w:rsidP="004A25AB">
            <w:pPr>
              <w:rPr>
                <w:rFonts w:ascii="Times New Roman" w:hAnsi="Times New Roman" w:cs="Times New Roman"/>
                <w:sz w:val="24"/>
                <w:szCs w:val="24"/>
              </w:rPr>
            </w:pPr>
          </w:p>
          <w:p w14:paraId="02B9C682" w14:textId="77777777" w:rsidR="005C5524" w:rsidRPr="00856162" w:rsidRDefault="005C5524" w:rsidP="004A25AB">
            <w:pPr>
              <w:rPr>
                <w:rFonts w:ascii="Times New Roman" w:hAnsi="Times New Roman" w:cs="Times New Roman"/>
                <w:sz w:val="24"/>
                <w:szCs w:val="24"/>
              </w:rPr>
            </w:pPr>
          </w:p>
          <w:p w14:paraId="7424C6E0" w14:textId="67FD7D38" w:rsidR="005C5524" w:rsidRPr="00856162" w:rsidRDefault="005C5524" w:rsidP="004A25AB">
            <w:pPr>
              <w:rPr>
                <w:rFonts w:ascii="Times New Roman" w:hAnsi="Times New Roman" w:cs="Times New Roman"/>
                <w:sz w:val="24"/>
                <w:szCs w:val="24"/>
              </w:rPr>
            </w:pPr>
          </w:p>
        </w:tc>
      </w:tr>
    </w:tbl>
    <w:p w14:paraId="4072070A" w14:textId="77777777" w:rsidR="007F0672" w:rsidRDefault="007F0672" w:rsidP="00521806">
      <w:pPr>
        <w:rPr>
          <w:rFonts w:ascii="Segoe UI" w:hAnsi="Segoe UI" w:cs="Segoe UI"/>
          <w:b/>
          <w:u w:val="single"/>
        </w:rPr>
      </w:pPr>
    </w:p>
    <w:p w14:paraId="667E893B" w14:textId="7F8585FC" w:rsidR="00521806" w:rsidRPr="005A4E46" w:rsidRDefault="00521806" w:rsidP="00521806">
      <w:pPr>
        <w:rPr>
          <w:rFonts w:ascii="Segoe UI" w:hAnsi="Segoe UI" w:cs="Segoe UI"/>
          <w:b/>
          <w:u w:val="single"/>
        </w:rPr>
      </w:pPr>
      <w:r w:rsidRPr="005A4E46">
        <w:rPr>
          <w:rFonts w:ascii="Segoe UI" w:hAnsi="Segoe UI" w:cs="Segoe UI"/>
          <w:b/>
          <w:u w:val="single"/>
        </w:rPr>
        <w:t>Engagement</w:t>
      </w:r>
    </w:p>
    <w:p w14:paraId="1F6398D1" w14:textId="393CEE52" w:rsidR="00521806" w:rsidRPr="005A4E46" w:rsidRDefault="00D90F1F" w:rsidP="00D90F1F">
      <w:pPr>
        <w:jc w:val="left"/>
        <w:rPr>
          <w:rFonts w:ascii="Segoe UI" w:hAnsi="Segoe UI" w:cs="Segoe UI"/>
        </w:rPr>
      </w:pPr>
      <w:r>
        <w:rPr>
          <w:rFonts w:ascii="Segoe UI" w:hAnsi="Segoe UI" w:cs="Segoe UI"/>
        </w:rPr>
        <w:t>How has your department has participated in college wide</w:t>
      </w:r>
      <w:r w:rsidR="00521806" w:rsidRPr="005A4E46">
        <w:rPr>
          <w:rFonts w:ascii="Segoe UI" w:hAnsi="Segoe UI" w:cs="Segoe UI"/>
        </w:rPr>
        <w:t xml:space="preserve"> efforts such as committees, presentations, and departmental activities</w:t>
      </w:r>
      <w:r>
        <w:rPr>
          <w:rFonts w:ascii="Segoe UI" w:hAnsi="Segoe UI" w:cs="Segoe UI"/>
        </w:rPr>
        <w:t>?</w:t>
      </w:r>
    </w:p>
    <w:tbl>
      <w:tblPr>
        <w:tblStyle w:val="TableGrid"/>
        <w:tblW w:w="9364" w:type="dxa"/>
        <w:tblLook w:val="04A0" w:firstRow="1" w:lastRow="0" w:firstColumn="1" w:lastColumn="0" w:noHBand="0" w:noVBand="1"/>
      </w:tblPr>
      <w:tblGrid>
        <w:gridCol w:w="9364"/>
      </w:tblGrid>
      <w:tr w:rsidR="00910D26" w:rsidRPr="00D90F1F" w14:paraId="1A44C76F" w14:textId="77777777" w:rsidTr="00910D26">
        <w:trPr>
          <w:trHeight w:val="1257"/>
        </w:trPr>
        <w:tc>
          <w:tcPr>
            <w:tcW w:w="9364" w:type="dxa"/>
          </w:tcPr>
          <w:p w14:paraId="314783E5" w14:textId="318FD6B3" w:rsidR="00577FEB" w:rsidRDefault="00577FEB" w:rsidP="00D90F1F">
            <w:pPr>
              <w:jc w:val="left"/>
              <w:rPr>
                <w:rFonts w:ascii="Times New Roman" w:hAnsi="Times New Roman" w:cs="Times New Roman"/>
                <w:sz w:val="24"/>
                <w:szCs w:val="24"/>
              </w:rPr>
            </w:pPr>
          </w:p>
          <w:p w14:paraId="3BF8B89B" w14:textId="0A4D75A7" w:rsidR="00751AB6" w:rsidRDefault="00577FEB" w:rsidP="00D90F1F">
            <w:pPr>
              <w:jc w:val="left"/>
              <w:rPr>
                <w:rFonts w:ascii="Times New Roman" w:hAnsi="Times New Roman" w:cs="Times New Roman"/>
                <w:sz w:val="24"/>
                <w:szCs w:val="24"/>
              </w:rPr>
            </w:pPr>
            <w:r>
              <w:rPr>
                <w:rFonts w:ascii="Times New Roman" w:hAnsi="Times New Roman" w:cs="Times New Roman"/>
                <w:sz w:val="24"/>
                <w:szCs w:val="24"/>
              </w:rPr>
              <w:t>There is participation</w:t>
            </w:r>
            <w:r w:rsidR="00E24BA6">
              <w:rPr>
                <w:rFonts w:ascii="Times New Roman" w:hAnsi="Times New Roman" w:cs="Times New Roman"/>
                <w:sz w:val="24"/>
                <w:szCs w:val="24"/>
              </w:rPr>
              <w:t xml:space="preserve"> and attendance at </w:t>
            </w:r>
            <w:r>
              <w:rPr>
                <w:rFonts w:ascii="Times New Roman" w:hAnsi="Times New Roman" w:cs="Times New Roman"/>
                <w:sz w:val="24"/>
                <w:szCs w:val="24"/>
              </w:rPr>
              <w:t>the following:</w:t>
            </w:r>
          </w:p>
          <w:p w14:paraId="7B94D5E3" w14:textId="58171865" w:rsidR="00577FEB" w:rsidRDefault="00577FEB" w:rsidP="00D90F1F">
            <w:pPr>
              <w:jc w:val="left"/>
              <w:rPr>
                <w:rFonts w:ascii="Times New Roman" w:hAnsi="Times New Roman" w:cs="Times New Roman"/>
                <w:sz w:val="24"/>
                <w:szCs w:val="24"/>
              </w:rPr>
            </w:pPr>
            <w:r>
              <w:rPr>
                <w:rFonts w:ascii="Times New Roman" w:hAnsi="Times New Roman" w:cs="Times New Roman"/>
                <w:sz w:val="24"/>
                <w:szCs w:val="24"/>
              </w:rPr>
              <w:t>-District Health &amp; Wellness monthly meetings</w:t>
            </w:r>
          </w:p>
          <w:p w14:paraId="090FC9E3" w14:textId="53123B5B" w:rsidR="00577FEB" w:rsidRDefault="00577FEB" w:rsidP="00D90F1F">
            <w:pPr>
              <w:jc w:val="left"/>
              <w:rPr>
                <w:rFonts w:ascii="Times New Roman" w:hAnsi="Times New Roman" w:cs="Times New Roman"/>
                <w:sz w:val="24"/>
                <w:szCs w:val="24"/>
              </w:rPr>
            </w:pPr>
            <w:r>
              <w:rPr>
                <w:rFonts w:ascii="Times New Roman" w:hAnsi="Times New Roman" w:cs="Times New Roman"/>
                <w:sz w:val="24"/>
                <w:szCs w:val="24"/>
              </w:rPr>
              <w:t>-Weekly licensed clinician consultation meetings</w:t>
            </w:r>
            <w:r w:rsidR="00E24BA6">
              <w:rPr>
                <w:rFonts w:ascii="Times New Roman" w:hAnsi="Times New Roman" w:cs="Times New Roman"/>
                <w:sz w:val="24"/>
                <w:szCs w:val="24"/>
              </w:rPr>
              <w:t xml:space="preserve"> and discussing best practices</w:t>
            </w:r>
          </w:p>
          <w:p w14:paraId="3F878198" w14:textId="1641E590" w:rsidR="00E24BA6" w:rsidRDefault="00E24BA6" w:rsidP="00D90F1F">
            <w:pPr>
              <w:jc w:val="left"/>
              <w:rPr>
                <w:rFonts w:ascii="Times New Roman" w:hAnsi="Times New Roman" w:cs="Times New Roman"/>
                <w:sz w:val="24"/>
                <w:szCs w:val="24"/>
              </w:rPr>
            </w:pPr>
            <w:r>
              <w:rPr>
                <w:rFonts w:ascii="Times New Roman" w:hAnsi="Times New Roman" w:cs="Times New Roman"/>
                <w:sz w:val="24"/>
                <w:szCs w:val="24"/>
              </w:rPr>
              <w:t>-Weekly Student Services meetings</w:t>
            </w:r>
          </w:p>
          <w:p w14:paraId="79107B7C" w14:textId="58341C62" w:rsidR="00E24BA6" w:rsidRDefault="00E24BA6" w:rsidP="00D90F1F">
            <w:pPr>
              <w:jc w:val="left"/>
              <w:rPr>
                <w:rFonts w:ascii="Times New Roman" w:hAnsi="Times New Roman" w:cs="Times New Roman"/>
                <w:sz w:val="24"/>
                <w:szCs w:val="24"/>
              </w:rPr>
            </w:pPr>
            <w:r>
              <w:rPr>
                <w:rFonts w:ascii="Times New Roman" w:hAnsi="Times New Roman" w:cs="Times New Roman"/>
                <w:sz w:val="24"/>
                <w:szCs w:val="24"/>
              </w:rPr>
              <w:t>-Flex Day events</w:t>
            </w:r>
          </w:p>
          <w:p w14:paraId="6231BFA1" w14:textId="274E4069" w:rsidR="0012395E" w:rsidRDefault="0012395E" w:rsidP="00D90F1F">
            <w:pPr>
              <w:jc w:val="left"/>
              <w:rPr>
                <w:rFonts w:ascii="Times New Roman" w:hAnsi="Times New Roman" w:cs="Times New Roman"/>
                <w:sz w:val="24"/>
                <w:szCs w:val="24"/>
              </w:rPr>
            </w:pPr>
            <w:r>
              <w:rPr>
                <w:rFonts w:ascii="Times New Roman" w:hAnsi="Times New Roman" w:cs="Times New Roman"/>
                <w:sz w:val="24"/>
                <w:szCs w:val="24"/>
              </w:rPr>
              <w:t>-Offered campus wide workshops for both students and faculty/staff on important mental health related topics.</w:t>
            </w:r>
          </w:p>
          <w:p w14:paraId="7CAD8DB8" w14:textId="6723B2B2" w:rsidR="00EB1C77" w:rsidRDefault="00EB1C77" w:rsidP="00D90F1F">
            <w:pPr>
              <w:jc w:val="left"/>
              <w:rPr>
                <w:rFonts w:ascii="Times New Roman" w:hAnsi="Times New Roman" w:cs="Times New Roman"/>
                <w:sz w:val="24"/>
                <w:szCs w:val="24"/>
              </w:rPr>
            </w:pPr>
          </w:p>
          <w:p w14:paraId="5F8B4D93" w14:textId="1FA4A322" w:rsidR="0012395E" w:rsidRDefault="0012395E" w:rsidP="00D90F1F">
            <w:pPr>
              <w:jc w:val="left"/>
              <w:rPr>
                <w:rFonts w:ascii="Times New Roman" w:hAnsi="Times New Roman" w:cs="Times New Roman"/>
                <w:sz w:val="24"/>
                <w:szCs w:val="24"/>
              </w:rPr>
            </w:pPr>
            <w:r>
              <w:rPr>
                <w:rFonts w:ascii="Times New Roman" w:hAnsi="Times New Roman" w:cs="Times New Roman"/>
                <w:sz w:val="24"/>
                <w:szCs w:val="24"/>
              </w:rPr>
              <w:t xml:space="preserve">Note that it can be difficult for a </w:t>
            </w:r>
            <w:r w:rsidR="00AF5B26">
              <w:rPr>
                <w:rFonts w:ascii="Times New Roman" w:hAnsi="Times New Roman" w:cs="Times New Roman"/>
                <w:sz w:val="24"/>
                <w:szCs w:val="24"/>
              </w:rPr>
              <w:t>one-person</w:t>
            </w:r>
            <w:r>
              <w:rPr>
                <w:rFonts w:ascii="Times New Roman" w:hAnsi="Times New Roman" w:cs="Times New Roman"/>
                <w:sz w:val="24"/>
                <w:szCs w:val="24"/>
              </w:rPr>
              <w:t xml:space="preserve"> team to manage daily operations of the department, as well as make time to connect with larger college wide efforts and collaboration.</w:t>
            </w:r>
          </w:p>
          <w:p w14:paraId="36B89D02" w14:textId="636C1ACF" w:rsidR="00EB1C77" w:rsidRDefault="00EB1C77" w:rsidP="00D90F1F">
            <w:pPr>
              <w:jc w:val="left"/>
              <w:rPr>
                <w:rFonts w:ascii="Times New Roman" w:hAnsi="Times New Roman" w:cs="Times New Roman"/>
                <w:sz w:val="24"/>
                <w:szCs w:val="24"/>
              </w:rPr>
            </w:pPr>
          </w:p>
          <w:p w14:paraId="454D632C" w14:textId="3BC961D3" w:rsidR="00EB1C77" w:rsidRDefault="00EB1C77" w:rsidP="00D90F1F">
            <w:pPr>
              <w:jc w:val="left"/>
              <w:rPr>
                <w:rFonts w:ascii="Times New Roman" w:hAnsi="Times New Roman" w:cs="Times New Roman"/>
                <w:sz w:val="24"/>
                <w:szCs w:val="24"/>
              </w:rPr>
            </w:pPr>
          </w:p>
          <w:p w14:paraId="1502E3F6" w14:textId="4E96534C" w:rsidR="00E24BA6" w:rsidRDefault="00E24BA6" w:rsidP="00D90F1F">
            <w:pPr>
              <w:jc w:val="left"/>
              <w:rPr>
                <w:rFonts w:ascii="Times New Roman" w:hAnsi="Times New Roman" w:cs="Times New Roman"/>
                <w:sz w:val="24"/>
                <w:szCs w:val="24"/>
              </w:rPr>
            </w:pPr>
          </w:p>
          <w:p w14:paraId="71846EAC" w14:textId="77777777" w:rsidR="00577FEB" w:rsidRDefault="00577FEB" w:rsidP="00D90F1F">
            <w:pPr>
              <w:jc w:val="left"/>
              <w:rPr>
                <w:rFonts w:ascii="Times New Roman" w:hAnsi="Times New Roman" w:cs="Times New Roman"/>
                <w:sz w:val="24"/>
                <w:szCs w:val="24"/>
              </w:rPr>
            </w:pPr>
          </w:p>
          <w:p w14:paraId="63AFB114" w14:textId="77777777" w:rsidR="00577FEB" w:rsidRDefault="00577FEB" w:rsidP="00D90F1F">
            <w:pPr>
              <w:jc w:val="left"/>
              <w:rPr>
                <w:rFonts w:ascii="Times New Roman" w:hAnsi="Times New Roman" w:cs="Times New Roman"/>
                <w:sz w:val="24"/>
                <w:szCs w:val="24"/>
              </w:rPr>
            </w:pPr>
          </w:p>
          <w:p w14:paraId="4D3862A7" w14:textId="77777777" w:rsidR="00751AB6" w:rsidRDefault="00751AB6" w:rsidP="00D90F1F">
            <w:pPr>
              <w:jc w:val="left"/>
              <w:rPr>
                <w:rFonts w:ascii="Times New Roman" w:hAnsi="Times New Roman" w:cs="Times New Roman"/>
                <w:sz w:val="24"/>
                <w:szCs w:val="24"/>
              </w:rPr>
            </w:pPr>
          </w:p>
          <w:p w14:paraId="77F25130" w14:textId="77777777" w:rsidR="00751AB6" w:rsidRDefault="00751AB6" w:rsidP="00D90F1F">
            <w:pPr>
              <w:jc w:val="left"/>
              <w:rPr>
                <w:rFonts w:ascii="Times New Roman" w:hAnsi="Times New Roman" w:cs="Times New Roman"/>
                <w:sz w:val="24"/>
                <w:szCs w:val="24"/>
              </w:rPr>
            </w:pPr>
          </w:p>
          <w:p w14:paraId="708565B4" w14:textId="77777777" w:rsidR="00751AB6" w:rsidRDefault="00751AB6" w:rsidP="00D90F1F">
            <w:pPr>
              <w:jc w:val="left"/>
              <w:rPr>
                <w:rFonts w:ascii="Times New Roman" w:hAnsi="Times New Roman" w:cs="Times New Roman"/>
                <w:sz w:val="24"/>
                <w:szCs w:val="24"/>
              </w:rPr>
            </w:pPr>
          </w:p>
          <w:p w14:paraId="4AEA517B" w14:textId="26218F5B" w:rsidR="00751AB6" w:rsidRPr="00D90F1F" w:rsidRDefault="00751AB6" w:rsidP="00D90F1F">
            <w:pPr>
              <w:jc w:val="left"/>
              <w:rPr>
                <w:rFonts w:ascii="Times New Roman" w:hAnsi="Times New Roman" w:cs="Times New Roman"/>
                <w:sz w:val="24"/>
                <w:szCs w:val="24"/>
              </w:rPr>
            </w:pPr>
          </w:p>
        </w:tc>
      </w:tr>
    </w:tbl>
    <w:p w14:paraId="5BA3A871" w14:textId="77777777" w:rsidR="00910D26" w:rsidRPr="005A4E46" w:rsidRDefault="00910D26" w:rsidP="00D90F1F">
      <w:pPr>
        <w:jc w:val="left"/>
        <w:rPr>
          <w:rFonts w:ascii="Segoe UI" w:hAnsi="Segoe UI" w:cs="Segoe UI"/>
        </w:rPr>
      </w:pPr>
    </w:p>
    <w:p w14:paraId="3081DCF4" w14:textId="5AF3783E" w:rsidR="00521806" w:rsidRPr="005A4E46" w:rsidRDefault="00D90F1F" w:rsidP="00D90F1F">
      <w:pPr>
        <w:jc w:val="left"/>
        <w:rPr>
          <w:rFonts w:ascii="Segoe UI" w:hAnsi="Segoe UI" w:cs="Segoe UI"/>
        </w:rPr>
      </w:pPr>
      <w:r>
        <w:rPr>
          <w:rFonts w:ascii="Segoe UI" w:hAnsi="Segoe UI" w:cs="Segoe UI"/>
        </w:rPr>
        <w:t>How has</w:t>
      </w:r>
      <w:r w:rsidR="00521806" w:rsidRPr="005A4E46">
        <w:rPr>
          <w:rFonts w:ascii="Segoe UI" w:hAnsi="Segoe UI" w:cs="Segoe UI"/>
        </w:rPr>
        <w:t xml:space="preserve"> </w:t>
      </w:r>
      <w:r>
        <w:rPr>
          <w:rFonts w:ascii="Segoe UI" w:hAnsi="Segoe UI" w:cs="Segoe UI"/>
        </w:rPr>
        <w:t xml:space="preserve">your department has </w:t>
      </w:r>
      <w:r w:rsidR="00521806" w:rsidRPr="005A4E46">
        <w:rPr>
          <w:rFonts w:ascii="Segoe UI" w:hAnsi="Segoe UI" w:cs="Segoe UI"/>
        </w:rPr>
        <w:t>engaged in community activities, partnerships and/or collaboration</w:t>
      </w:r>
      <w:r>
        <w:rPr>
          <w:rFonts w:ascii="Segoe UI" w:hAnsi="Segoe UI" w:cs="Segoe UI"/>
        </w:rPr>
        <w:t xml:space="preserve">s? </w:t>
      </w:r>
    </w:p>
    <w:tbl>
      <w:tblPr>
        <w:tblStyle w:val="TableGrid"/>
        <w:tblW w:w="0" w:type="auto"/>
        <w:tblLook w:val="04A0" w:firstRow="1" w:lastRow="0" w:firstColumn="1" w:lastColumn="0" w:noHBand="0" w:noVBand="1"/>
      </w:tblPr>
      <w:tblGrid>
        <w:gridCol w:w="9290"/>
      </w:tblGrid>
      <w:tr w:rsidR="00910D26" w:rsidRPr="00D90F1F" w14:paraId="6B5E7C49" w14:textId="77777777" w:rsidTr="00910D26">
        <w:trPr>
          <w:trHeight w:val="1031"/>
        </w:trPr>
        <w:tc>
          <w:tcPr>
            <w:tcW w:w="9290" w:type="dxa"/>
          </w:tcPr>
          <w:p w14:paraId="3F9772D9" w14:textId="77777777" w:rsidR="00910D26" w:rsidRDefault="00910D26" w:rsidP="00D90F1F">
            <w:pPr>
              <w:jc w:val="left"/>
              <w:rPr>
                <w:rFonts w:ascii="Times New Roman" w:hAnsi="Times New Roman" w:cs="Times New Roman"/>
                <w:sz w:val="24"/>
                <w:szCs w:val="24"/>
              </w:rPr>
            </w:pPr>
          </w:p>
          <w:p w14:paraId="7EF65F31" w14:textId="5BFC17CD" w:rsidR="00751AB6" w:rsidRDefault="003001B1" w:rsidP="00D90F1F">
            <w:pPr>
              <w:jc w:val="left"/>
              <w:rPr>
                <w:rFonts w:ascii="Times New Roman" w:hAnsi="Times New Roman" w:cs="Times New Roman"/>
                <w:sz w:val="24"/>
                <w:szCs w:val="24"/>
              </w:rPr>
            </w:pPr>
            <w:r>
              <w:rPr>
                <w:rFonts w:ascii="Times New Roman" w:hAnsi="Times New Roman" w:cs="Times New Roman"/>
                <w:sz w:val="24"/>
                <w:szCs w:val="24"/>
              </w:rPr>
              <w:t>As mentioned above, our partnership with Roots Clinic has been invaluable in providing our students with medical services.  It has also been critical to stay connected with community referrals and up-to-date resources.  Some of the agencies we work with consistently: Alameda County ACCESS line, Crisis Support Services, Sausal Creek Outpatient Stabilization, Korean Community Center of the East Bay, and Summit Bereavement Services.</w:t>
            </w:r>
          </w:p>
          <w:p w14:paraId="3CCB3D51" w14:textId="77777777" w:rsidR="003001B1" w:rsidRDefault="003001B1" w:rsidP="00D90F1F">
            <w:pPr>
              <w:jc w:val="left"/>
              <w:rPr>
                <w:rFonts w:ascii="Times New Roman" w:hAnsi="Times New Roman" w:cs="Times New Roman"/>
                <w:sz w:val="24"/>
                <w:szCs w:val="24"/>
              </w:rPr>
            </w:pPr>
          </w:p>
          <w:p w14:paraId="56968FEB" w14:textId="30240C59" w:rsidR="003001B1" w:rsidRPr="003001B1" w:rsidRDefault="003001B1" w:rsidP="003001B1">
            <w:pPr>
              <w:jc w:val="left"/>
              <w:rPr>
                <w:rFonts w:ascii="Times New Roman" w:hAnsi="Times New Roman" w:cs="Times New Roman"/>
                <w:sz w:val="24"/>
                <w:szCs w:val="24"/>
              </w:rPr>
            </w:pPr>
            <w:r>
              <w:rPr>
                <w:rFonts w:ascii="Times New Roman" w:hAnsi="Times New Roman" w:cs="Times New Roman"/>
                <w:sz w:val="24"/>
                <w:szCs w:val="24"/>
              </w:rPr>
              <w:t xml:space="preserve">We also have significant partnerships with multiple graduate schools to ensure that we have a consistent diverse pool of MFT Trainee applicants to provide direct mental health services for our students. We currently have MOU’s with </w:t>
            </w:r>
            <w:r w:rsidRPr="003001B1">
              <w:rPr>
                <w:rFonts w:ascii="Times New Roman" w:hAnsi="Times New Roman" w:cs="Times New Roman"/>
                <w:sz w:val="24"/>
                <w:szCs w:val="24"/>
              </w:rPr>
              <w:t xml:space="preserve">St. Mary’s, USF, San Francisco State University, The Wright Institute, </w:t>
            </w:r>
            <w:r>
              <w:rPr>
                <w:rFonts w:ascii="Times New Roman" w:hAnsi="Times New Roman" w:cs="Times New Roman"/>
                <w:sz w:val="24"/>
                <w:szCs w:val="24"/>
              </w:rPr>
              <w:t>and JFK University.</w:t>
            </w:r>
            <w:r w:rsidRPr="003001B1">
              <w:rPr>
                <w:rFonts w:ascii="Times New Roman" w:hAnsi="Times New Roman" w:cs="Times New Roman"/>
                <w:sz w:val="24"/>
                <w:szCs w:val="24"/>
              </w:rPr>
              <w:t xml:space="preserve"> </w:t>
            </w:r>
          </w:p>
          <w:p w14:paraId="6780A67B" w14:textId="691C13CB" w:rsidR="003001B1" w:rsidRDefault="003001B1" w:rsidP="00D90F1F">
            <w:pPr>
              <w:jc w:val="left"/>
              <w:rPr>
                <w:rFonts w:ascii="Times New Roman" w:hAnsi="Times New Roman" w:cs="Times New Roman"/>
                <w:sz w:val="24"/>
                <w:szCs w:val="24"/>
              </w:rPr>
            </w:pPr>
          </w:p>
          <w:p w14:paraId="156B8800" w14:textId="344211C0" w:rsidR="00EA333E" w:rsidRPr="003001B1" w:rsidRDefault="003001B1" w:rsidP="00D90F1F">
            <w:pPr>
              <w:jc w:val="left"/>
              <w:rPr>
                <w:rFonts w:ascii="Times New Roman" w:hAnsi="Times New Roman" w:cs="Times New Roman"/>
                <w:sz w:val="24"/>
                <w:szCs w:val="24"/>
              </w:rPr>
            </w:pPr>
            <w:r>
              <w:rPr>
                <w:rFonts w:ascii="Times New Roman" w:hAnsi="Times New Roman" w:cs="Times New Roman"/>
                <w:sz w:val="24"/>
                <w:szCs w:val="24"/>
              </w:rPr>
              <w:t xml:space="preserve">In order to provide relevant and culturally sensitive training for the MFT Trainee’s, the Health Service Coordinator brings in a variety of community agencies and experts. A few examples include:  </w:t>
            </w:r>
            <w:r w:rsidR="00EA333E" w:rsidRPr="003001B1">
              <w:rPr>
                <w:rFonts w:ascii="Times New Roman" w:hAnsi="Times New Roman" w:cs="Times New Roman"/>
                <w:sz w:val="24"/>
                <w:szCs w:val="24"/>
              </w:rPr>
              <w:t>BAWAR-sexual assault</w:t>
            </w:r>
            <w:r>
              <w:rPr>
                <w:rFonts w:ascii="Times New Roman" w:hAnsi="Times New Roman" w:cs="Times New Roman"/>
                <w:sz w:val="24"/>
                <w:szCs w:val="24"/>
              </w:rPr>
              <w:t xml:space="preserve"> training</w:t>
            </w:r>
            <w:r w:rsidR="00EA333E" w:rsidRPr="003001B1">
              <w:rPr>
                <w:rFonts w:ascii="Times New Roman" w:hAnsi="Times New Roman" w:cs="Times New Roman"/>
                <w:sz w:val="24"/>
                <w:szCs w:val="24"/>
              </w:rPr>
              <w:t>, Summit Bereavement Services to talk ab</w:t>
            </w:r>
            <w:r>
              <w:rPr>
                <w:rFonts w:ascii="Times New Roman" w:hAnsi="Times New Roman" w:cs="Times New Roman"/>
                <w:sz w:val="24"/>
                <w:szCs w:val="24"/>
              </w:rPr>
              <w:t>out</w:t>
            </w:r>
            <w:r w:rsidR="00EA333E" w:rsidRPr="003001B1">
              <w:rPr>
                <w:rFonts w:ascii="Times New Roman" w:hAnsi="Times New Roman" w:cs="Times New Roman"/>
                <w:sz w:val="24"/>
                <w:szCs w:val="24"/>
              </w:rPr>
              <w:t xml:space="preserve"> grief counseling</w:t>
            </w:r>
            <w:r>
              <w:rPr>
                <w:rFonts w:ascii="Times New Roman" w:hAnsi="Times New Roman" w:cs="Times New Roman"/>
                <w:sz w:val="24"/>
                <w:szCs w:val="24"/>
              </w:rPr>
              <w:t xml:space="preserve"> and the</w:t>
            </w:r>
            <w:r w:rsidR="00EA333E" w:rsidRPr="003001B1">
              <w:rPr>
                <w:rFonts w:ascii="Times New Roman" w:hAnsi="Times New Roman" w:cs="Times New Roman"/>
                <w:sz w:val="24"/>
                <w:szCs w:val="24"/>
              </w:rPr>
              <w:t xml:space="preserve"> Felton Institute on Early Psychosis</w:t>
            </w:r>
            <w:r>
              <w:rPr>
                <w:rFonts w:ascii="Times New Roman" w:hAnsi="Times New Roman" w:cs="Times New Roman"/>
                <w:sz w:val="24"/>
                <w:szCs w:val="24"/>
              </w:rPr>
              <w:t>.</w:t>
            </w:r>
          </w:p>
          <w:p w14:paraId="311F561E" w14:textId="1A3778C5" w:rsidR="00EA333E" w:rsidRPr="003001B1" w:rsidRDefault="00EA333E" w:rsidP="00D90F1F">
            <w:pPr>
              <w:jc w:val="left"/>
              <w:rPr>
                <w:rFonts w:ascii="Times New Roman" w:hAnsi="Times New Roman" w:cs="Times New Roman"/>
                <w:sz w:val="24"/>
                <w:szCs w:val="24"/>
              </w:rPr>
            </w:pPr>
          </w:p>
          <w:p w14:paraId="073D7158" w14:textId="77777777" w:rsidR="00751AB6" w:rsidRDefault="00751AB6" w:rsidP="00D90F1F">
            <w:pPr>
              <w:jc w:val="left"/>
              <w:rPr>
                <w:rFonts w:ascii="Times New Roman" w:hAnsi="Times New Roman" w:cs="Times New Roman"/>
                <w:sz w:val="24"/>
                <w:szCs w:val="24"/>
              </w:rPr>
            </w:pPr>
          </w:p>
          <w:p w14:paraId="253895B6" w14:textId="77777777" w:rsidR="00751AB6" w:rsidRDefault="00751AB6" w:rsidP="00D90F1F">
            <w:pPr>
              <w:jc w:val="left"/>
              <w:rPr>
                <w:rFonts w:ascii="Times New Roman" w:hAnsi="Times New Roman" w:cs="Times New Roman"/>
                <w:sz w:val="24"/>
                <w:szCs w:val="24"/>
              </w:rPr>
            </w:pPr>
          </w:p>
          <w:p w14:paraId="16069D1D" w14:textId="77777777" w:rsidR="00751AB6" w:rsidRDefault="00751AB6" w:rsidP="00D90F1F">
            <w:pPr>
              <w:jc w:val="left"/>
              <w:rPr>
                <w:rFonts w:ascii="Times New Roman" w:hAnsi="Times New Roman" w:cs="Times New Roman"/>
                <w:sz w:val="24"/>
                <w:szCs w:val="24"/>
              </w:rPr>
            </w:pPr>
          </w:p>
          <w:p w14:paraId="010657AF" w14:textId="06D4351F" w:rsidR="00751AB6" w:rsidRPr="00D90F1F" w:rsidRDefault="00751AB6" w:rsidP="00D90F1F">
            <w:pPr>
              <w:jc w:val="left"/>
              <w:rPr>
                <w:rFonts w:ascii="Times New Roman" w:hAnsi="Times New Roman" w:cs="Times New Roman"/>
                <w:sz w:val="24"/>
                <w:szCs w:val="24"/>
              </w:rPr>
            </w:pPr>
          </w:p>
        </w:tc>
      </w:tr>
    </w:tbl>
    <w:p w14:paraId="00C069CC" w14:textId="77777777" w:rsidR="00751AB6" w:rsidRDefault="00751AB6" w:rsidP="007158B5">
      <w:pPr>
        <w:rPr>
          <w:rFonts w:ascii="Segoe UI" w:hAnsi="Segoe UI" w:cs="Segoe UI"/>
          <w:b/>
          <w:u w:val="single"/>
        </w:rPr>
      </w:pPr>
    </w:p>
    <w:p w14:paraId="11EBDD79" w14:textId="571E89B1" w:rsidR="007158B5" w:rsidRPr="005A4E46" w:rsidRDefault="007158B5" w:rsidP="007158B5">
      <w:pPr>
        <w:rPr>
          <w:rFonts w:ascii="Segoe UI" w:hAnsi="Segoe UI" w:cs="Segoe UI"/>
          <w:b/>
          <w:u w:val="single"/>
        </w:rPr>
      </w:pPr>
      <w:r w:rsidRPr="005A4E46">
        <w:rPr>
          <w:rFonts w:ascii="Segoe UI" w:hAnsi="Segoe UI" w:cs="Segoe UI"/>
          <w:b/>
          <w:u w:val="single"/>
        </w:rPr>
        <w:lastRenderedPageBreak/>
        <w:t>Prioritized Resource Requests Summary</w:t>
      </w:r>
    </w:p>
    <w:p w14:paraId="209C2734" w14:textId="77777777" w:rsidR="007158B5" w:rsidRPr="005A4E46" w:rsidRDefault="007158B5" w:rsidP="00910D26">
      <w:pPr>
        <w:rPr>
          <w:rFonts w:ascii="Segoe UI" w:hAnsi="Segoe UI" w:cs="Segoe UI"/>
        </w:rPr>
      </w:pPr>
      <w:r w:rsidRPr="005A4E46">
        <w:rPr>
          <w:rFonts w:ascii="Segoe UI" w:hAnsi="Segoe UI" w:cs="Segoe UI"/>
        </w:rPr>
        <w:t xml:space="preserve">In the boxes below, please add resource requests for your program. </w:t>
      </w:r>
      <w:r w:rsidR="00B145A3" w:rsidRPr="005A4E46">
        <w:rPr>
          <w:rFonts w:ascii="Segoe UI" w:hAnsi="Segoe UI" w:cs="Segoe UI"/>
        </w:rPr>
        <w:t>If there are no</w:t>
      </w:r>
      <w:r w:rsidRPr="005A4E46">
        <w:rPr>
          <w:rFonts w:ascii="Segoe UI" w:hAnsi="Segoe UI" w:cs="Segoe UI"/>
        </w:rPr>
        <w:t xml:space="preserve"> resource requested, leave </w:t>
      </w:r>
      <w:r w:rsidR="00B145A3" w:rsidRPr="005A4E46">
        <w:rPr>
          <w:rFonts w:ascii="Segoe UI" w:hAnsi="Segoe UI" w:cs="Segoe UI"/>
        </w:rPr>
        <w:t xml:space="preserve">the boxes </w:t>
      </w:r>
      <w:r w:rsidRPr="005A4E46">
        <w:rPr>
          <w:rFonts w:ascii="Segoe UI" w:hAnsi="Segoe UI" w:cs="Segoe UI"/>
        </w:rPr>
        <w:t>blank.</w:t>
      </w:r>
      <w:r w:rsidR="00B145A3" w:rsidRPr="005A4E46">
        <w:rPr>
          <w:rFonts w:ascii="Segoe UI" w:hAnsi="Segoe UI" w:cs="Segoe UI"/>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E32A65" w:rsidRPr="005C5524" w14:paraId="26396D0D" w14:textId="77777777" w:rsidTr="00517630">
        <w:trPr>
          <w:trHeight w:val="583"/>
          <w:jc w:val="center"/>
        </w:trPr>
        <w:tc>
          <w:tcPr>
            <w:tcW w:w="3116" w:type="dxa"/>
            <w:shd w:val="clear" w:color="auto" w:fill="auto"/>
            <w:vAlign w:val="center"/>
          </w:tcPr>
          <w:p w14:paraId="2198AAD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2531" w:type="dxa"/>
            <w:shd w:val="clear" w:color="auto" w:fill="auto"/>
            <w:vAlign w:val="center"/>
          </w:tcPr>
          <w:p w14:paraId="78DFCA3B"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373" w:type="dxa"/>
          </w:tcPr>
          <w:p w14:paraId="3C5E337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Salary Costs</w:t>
            </w:r>
          </w:p>
        </w:tc>
        <w:tc>
          <w:tcPr>
            <w:tcW w:w="1260" w:type="dxa"/>
          </w:tcPr>
          <w:p w14:paraId="04EA3E92"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Benefits Costs</w:t>
            </w:r>
          </w:p>
        </w:tc>
        <w:tc>
          <w:tcPr>
            <w:tcW w:w="1260" w:type="dxa"/>
            <w:shd w:val="clear" w:color="auto" w:fill="auto"/>
            <w:vAlign w:val="center"/>
          </w:tcPr>
          <w:p w14:paraId="296F19B1" w14:textId="77777777" w:rsidR="007158B5" w:rsidRPr="00F40124" w:rsidRDefault="00517630"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 xml:space="preserve">Total </w:t>
            </w:r>
            <w:r w:rsidR="007158B5" w:rsidRPr="00F40124">
              <w:rPr>
                <w:rFonts w:ascii="Segoe UI" w:eastAsia="Times New Roman" w:hAnsi="Segoe UI" w:cs="Segoe UI"/>
                <w:b/>
                <w:sz w:val="18"/>
                <w:szCs w:val="18"/>
              </w:rPr>
              <w:t>Estimated Cost</w:t>
            </w:r>
          </w:p>
        </w:tc>
      </w:tr>
      <w:tr w:rsidR="00E32A65" w:rsidRPr="005C5524" w14:paraId="4FB6DF4A" w14:textId="77777777" w:rsidTr="00D90F1F">
        <w:trPr>
          <w:trHeight w:val="291"/>
          <w:jc w:val="center"/>
        </w:trPr>
        <w:tc>
          <w:tcPr>
            <w:tcW w:w="3116" w:type="dxa"/>
            <w:shd w:val="clear" w:color="auto" w:fill="auto"/>
            <w:vAlign w:val="center"/>
          </w:tcPr>
          <w:p w14:paraId="041945B9"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Personnel: Classified Staff</w:t>
            </w:r>
          </w:p>
          <w:p w14:paraId="58946DF2" w14:textId="77777777" w:rsidR="007158B5" w:rsidRPr="00F40124" w:rsidRDefault="007158B5" w:rsidP="00D90F1F">
            <w:pPr>
              <w:jc w:val="left"/>
              <w:rPr>
                <w:rFonts w:ascii="Segoe UI" w:eastAsia="Times New Roman" w:hAnsi="Segoe UI" w:cs="Segoe UI"/>
                <w:bCs/>
                <w:sz w:val="20"/>
                <w:szCs w:val="20"/>
              </w:rPr>
            </w:pPr>
          </w:p>
          <w:p w14:paraId="514ACF67" w14:textId="77777777" w:rsidR="00B145A3" w:rsidRPr="00F40124" w:rsidRDefault="00B145A3" w:rsidP="00D90F1F">
            <w:pPr>
              <w:jc w:val="left"/>
              <w:rPr>
                <w:rFonts w:ascii="Segoe UI" w:eastAsia="Times New Roman" w:hAnsi="Segoe UI" w:cs="Segoe UI"/>
                <w:bCs/>
                <w:sz w:val="20"/>
                <w:szCs w:val="20"/>
              </w:rPr>
            </w:pPr>
          </w:p>
          <w:p w14:paraId="3E03913D"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29E79D70" w14:textId="77777777" w:rsidR="007158B5" w:rsidRPr="00D90F1F" w:rsidRDefault="007158B5" w:rsidP="00D90F1F">
            <w:pPr>
              <w:jc w:val="left"/>
              <w:rPr>
                <w:rFonts w:ascii="Times New Roman" w:eastAsia="Times New Roman" w:hAnsi="Times New Roman" w:cs="Times New Roman"/>
                <w:bCs/>
              </w:rPr>
            </w:pPr>
          </w:p>
          <w:p w14:paraId="358FA815" w14:textId="77777777" w:rsidR="00517630" w:rsidRPr="00D90F1F" w:rsidRDefault="00517630" w:rsidP="00D90F1F">
            <w:pPr>
              <w:jc w:val="left"/>
              <w:rPr>
                <w:rFonts w:ascii="Times New Roman" w:eastAsia="Times New Roman" w:hAnsi="Times New Roman" w:cs="Times New Roman"/>
                <w:bCs/>
              </w:rPr>
            </w:pPr>
          </w:p>
          <w:p w14:paraId="632FF1A9"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4156DDE6"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3C8BA3E9"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541BF5F0" w14:textId="77777777" w:rsidR="007158B5" w:rsidRPr="00D90F1F" w:rsidRDefault="007158B5" w:rsidP="00D90F1F">
            <w:pPr>
              <w:jc w:val="left"/>
              <w:rPr>
                <w:rFonts w:ascii="Times New Roman" w:eastAsia="Times New Roman" w:hAnsi="Times New Roman" w:cs="Times New Roman"/>
              </w:rPr>
            </w:pPr>
          </w:p>
        </w:tc>
      </w:tr>
      <w:tr w:rsidR="00E32A65" w:rsidRPr="005C5524" w14:paraId="6C1557D8" w14:textId="77777777" w:rsidTr="00D90F1F">
        <w:trPr>
          <w:trHeight w:val="291"/>
          <w:jc w:val="center"/>
        </w:trPr>
        <w:tc>
          <w:tcPr>
            <w:tcW w:w="3116" w:type="dxa"/>
            <w:shd w:val="clear" w:color="auto" w:fill="auto"/>
            <w:vAlign w:val="center"/>
          </w:tcPr>
          <w:p w14:paraId="35A0F153"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Personnel:</w:t>
            </w:r>
            <w:r w:rsidR="00517630" w:rsidRPr="00F40124">
              <w:rPr>
                <w:rFonts w:ascii="Segoe UI" w:eastAsia="Times New Roman" w:hAnsi="Segoe UI" w:cs="Segoe UI"/>
                <w:bCs/>
                <w:sz w:val="20"/>
                <w:szCs w:val="20"/>
              </w:rPr>
              <w:t xml:space="preserve"> Student Worker</w:t>
            </w:r>
          </w:p>
          <w:p w14:paraId="7A56D604" w14:textId="77777777" w:rsidR="007158B5" w:rsidRPr="00F40124" w:rsidRDefault="007158B5" w:rsidP="00D90F1F">
            <w:pPr>
              <w:jc w:val="left"/>
              <w:rPr>
                <w:rFonts w:ascii="Segoe UI" w:eastAsia="Times New Roman" w:hAnsi="Segoe UI" w:cs="Segoe UI"/>
                <w:bCs/>
                <w:sz w:val="20"/>
                <w:szCs w:val="20"/>
              </w:rPr>
            </w:pPr>
          </w:p>
          <w:p w14:paraId="705D41A0" w14:textId="77777777" w:rsidR="00B145A3" w:rsidRPr="00F40124" w:rsidRDefault="00B145A3" w:rsidP="00D90F1F">
            <w:pPr>
              <w:jc w:val="left"/>
              <w:rPr>
                <w:rFonts w:ascii="Segoe UI" w:eastAsia="Times New Roman" w:hAnsi="Segoe UI" w:cs="Segoe UI"/>
                <w:bCs/>
                <w:sz w:val="20"/>
                <w:szCs w:val="20"/>
              </w:rPr>
            </w:pPr>
          </w:p>
          <w:p w14:paraId="44AB7FCD"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38986008" w14:textId="77777777" w:rsidR="00517630" w:rsidRPr="00D90F1F" w:rsidRDefault="00517630" w:rsidP="00D90F1F">
            <w:pPr>
              <w:jc w:val="left"/>
              <w:rPr>
                <w:rFonts w:ascii="Times New Roman" w:eastAsia="Times New Roman" w:hAnsi="Times New Roman" w:cs="Times New Roman"/>
                <w:bCs/>
              </w:rPr>
            </w:pPr>
          </w:p>
          <w:p w14:paraId="48A8DA77"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10D1E39F" w14:textId="7D8BF837" w:rsidR="007158B5" w:rsidRPr="00D90F1F" w:rsidRDefault="007158B5" w:rsidP="00D90F1F">
            <w:pPr>
              <w:jc w:val="left"/>
              <w:rPr>
                <w:rFonts w:ascii="Times New Roman" w:eastAsia="Times New Roman" w:hAnsi="Times New Roman" w:cs="Times New Roman"/>
              </w:rPr>
            </w:pPr>
          </w:p>
        </w:tc>
        <w:tc>
          <w:tcPr>
            <w:tcW w:w="1260" w:type="dxa"/>
            <w:vAlign w:val="center"/>
          </w:tcPr>
          <w:p w14:paraId="5F15FCD0" w14:textId="7DBE4D43"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69909E49" w14:textId="08A70A24" w:rsidR="007158B5" w:rsidRPr="00D90F1F" w:rsidRDefault="007158B5" w:rsidP="00D90F1F">
            <w:pPr>
              <w:jc w:val="left"/>
              <w:rPr>
                <w:rFonts w:ascii="Times New Roman" w:eastAsia="Times New Roman" w:hAnsi="Times New Roman" w:cs="Times New Roman"/>
              </w:rPr>
            </w:pPr>
          </w:p>
        </w:tc>
      </w:tr>
      <w:tr w:rsidR="00E32A65" w:rsidRPr="005C5524" w14:paraId="7122977A" w14:textId="77777777" w:rsidTr="00D90F1F">
        <w:trPr>
          <w:trHeight w:val="291"/>
          <w:jc w:val="center"/>
        </w:trPr>
        <w:tc>
          <w:tcPr>
            <w:tcW w:w="3116" w:type="dxa"/>
            <w:shd w:val="clear" w:color="auto" w:fill="auto"/>
            <w:vAlign w:val="center"/>
          </w:tcPr>
          <w:p w14:paraId="09D7E6F1"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Part Time Faculty</w:t>
            </w:r>
          </w:p>
          <w:p w14:paraId="3AC36D90" w14:textId="77777777" w:rsidR="007158B5" w:rsidRPr="00F40124" w:rsidRDefault="007158B5" w:rsidP="00D90F1F">
            <w:pPr>
              <w:jc w:val="left"/>
              <w:rPr>
                <w:rFonts w:ascii="Segoe UI" w:eastAsia="Times New Roman" w:hAnsi="Segoe UI" w:cs="Segoe UI"/>
                <w:bCs/>
                <w:sz w:val="20"/>
                <w:szCs w:val="20"/>
              </w:rPr>
            </w:pPr>
          </w:p>
          <w:p w14:paraId="764F081F" w14:textId="77777777" w:rsidR="00B145A3" w:rsidRPr="00F40124" w:rsidRDefault="00B145A3" w:rsidP="00D90F1F">
            <w:pPr>
              <w:jc w:val="left"/>
              <w:rPr>
                <w:rFonts w:ascii="Segoe UI" w:eastAsia="Times New Roman" w:hAnsi="Segoe UI" w:cs="Segoe UI"/>
                <w:bCs/>
                <w:sz w:val="20"/>
                <w:szCs w:val="20"/>
              </w:rPr>
            </w:pPr>
          </w:p>
          <w:p w14:paraId="50F79328"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0ADF9B44" w14:textId="71F6D114" w:rsidR="006B477E" w:rsidRDefault="006B477E" w:rsidP="00D90F1F">
            <w:pPr>
              <w:jc w:val="left"/>
              <w:rPr>
                <w:rFonts w:ascii="Times New Roman" w:eastAsia="Times New Roman" w:hAnsi="Times New Roman" w:cs="Times New Roman"/>
                <w:bCs/>
              </w:rPr>
            </w:pPr>
            <w:r>
              <w:rPr>
                <w:rFonts w:ascii="Times New Roman" w:eastAsia="Times New Roman" w:hAnsi="Times New Roman" w:cs="Times New Roman"/>
                <w:bCs/>
              </w:rPr>
              <w:t>1 Part-Time Mental Health Counselor Faculty</w:t>
            </w:r>
          </w:p>
          <w:p w14:paraId="59BCAE7F" w14:textId="77777777" w:rsidR="00F47768" w:rsidRDefault="00F47768" w:rsidP="00D90F1F">
            <w:pPr>
              <w:jc w:val="left"/>
              <w:rPr>
                <w:rFonts w:ascii="Times New Roman" w:eastAsia="Times New Roman" w:hAnsi="Times New Roman" w:cs="Times New Roman"/>
                <w:bCs/>
              </w:rPr>
            </w:pPr>
          </w:p>
          <w:p w14:paraId="1D22330A" w14:textId="3A04AF01" w:rsidR="006B477E" w:rsidRDefault="006B477E" w:rsidP="00D90F1F">
            <w:pPr>
              <w:jc w:val="left"/>
              <w:rPr>
                <w:rFonts w:ascii="Times New Roman" w:eastAsia="Times New Roman" w:hAnsi="Times New Roman" w:cs="Times New Roman"/>
                <w:bCs/>
              </w:rPr>
            </w:pPr>
            <w:r>
              <w:rPr>
                <w:rFonts w:ascii="Times New Roman" w:eastAsia="Times New Roman" w:hAnsi="Times New Roman" w:cs="Times New Roman"/>
                <w:bCs/>
              </w:rPr>
              <w:t>2 Part-Time FDIP</w:t>
            </w:r>
            <w:r w:rsidR="00E55446">
              <w:rPr>
                <w:rFonts w:ascii="Times New Roman" w:eastAsia="Times New Roman" w:hAnsi="Times New Roman" w:cs="Times New Roman"/>
                <w:bCs/>
              </w:rPr>
              <w:t xml:space="preserve"> (Faculty Diversity Internship Program)</w:t>
            </w:r>
          </w:p>
          <w:p w14:paraId="6C9178DA" w14:textId="77777777" w:rsidR="006B477E" w:rsidRDefault="006B477E" w:rsidP="00D90F1F">
            <w:pPr>
              <w:jc w:val="left"/>
              <w:rPr>
                <w:rFonts w:ascii="Times New Roman" w:eastAsia="Times New Roman" w:hAnsi="Times New Roman" w:cs="Times New Roman"/>
                <w:bCs/>
              </w:rPr>
            </w:pPr>
          </w:p>
          <w:p w14:paraId="22417F1A" w14:textId="59DA04F8" w:rsidR="003D0679" w:rsidRDefault="00577FEB" w:rsidP="00D90F1F">
            <w:pPr>
              <w:jc w:val="left"/>
              <w:rPr>
                <w:rFonts w:ascii="Times New Roman" w:eastAsia="Times New Roman" w:hAnsi="Times New Roman" w:cs="Times New Roman"/>
                <w:bCs/>
              </w:rPr>
            </w:pPr>
            <w:r>
              <w:rPr>
                <w:rFonts w:ascii="Times New Roman" w:eastAsia="Times New Roman" w:hAnsi="Times New Roman" w:cs="Times New Roman"/>
                <w:bCs/>
              </w:rPr>
              <w:t>Consistent increase in severe mental health needs of students and need for experienced, licensed therapist to assist with crisis assessments and on-goi</w:t>
            </w:r>
            <w:r w:rsidR="00EA333E">
              <w:rPr>
                <w:rFonts w:ascii="Times New Roman" w:eastAsia="Times New Roman" w:hAnsi="Times New Roman" w:cs="Times New Roman"/>
                <w:bCs/>
              </w:rPr>
              <w:t>n</w:t>
            </w:r>
            <w:r>
              <w:rPr>
                <w:rFonts w:ascii="Times New Roman" w:eastAsia="Times New Roman" w:hAnsi="Times New Roman" w:cs="Times New Roman"/>
                <w:bCs/>
              </w:rPr>
              <w:t>g support for students.</w:t>
            </w:r>
            <w:r w:rsidR="006B477E">
              <w:rPr>
                <w:rFonts w:ascii="Times New Roman" w:eastAsia="Times New Roman" w:hAnsi="Times New Roman" w:cs="Times New Roman"/>
                <w:bCs/>
              </w:rPr>
              <w:t xml:space="preserve"> </w:t>
            </w:r>
            <w:r w:rsidR="003D0679">
              <w:rPr>
                <w:rFonts w:ascii="Times New Roman" w:eastAsia="Times New Roman" w:hAnsi="Times New Roman" w:cs="Times New Roman"/>
                <w:bCs/>
              </w:rPr>
              <w:t>There is also  a need for licensed mental health counselor to cover summer hours and supervision of interns.</w:t>
            </w:r>
          </w:p>
          <w:p w14:paraId="69EB47E7" w14:textId="77777777" w:rsidR="003D0679" w:rsidRDefault="003D0679" w:rsidP="00D90F1F">
            <w:pPr>
              <w:jc w:val="left"/>
              <w:rPr>
                <w:rFonts w:ascii="Times New Roman" w:eastAsia="Times New Roman" w:hAnsi="Times New Roman" w:cs="Times New Roman"/>
                <w:bCs/>
              </w:rPr>
            </w:pPr>
          </w:p>
          <w:p w14:paraId="44D55626" w14:textId="39CA1DFC" w:rsidR="007158B5" w:rsidRPr="00D90F1F" w:rsidRDefault="006B477E" w:rsidP="00D90F1F">
            <w:pPr>
              <w:jc w:val="left"/>
              <w:rPr>
                <w:rFonts w:ascii="Times New Roman" w:eastAsia="Times New Roman" w:hAnsi="Times New Roman" w:cs="Times New Roman"/>
                <w:bCs/>
              </w:rPr>
            </w:pPr>
            <w:r>
              <w:rPr>
                <w:rFonts w:ascii="Times New Roman" w:eastAsia="Times New Roman" w:hAnsi="Times New Roman" w:cs="Times New Roman"/>
                <w:bCs/>
              </w:rPr>
              <w:t>Need for BIPOC and LGBTQ+ counselors</w:t>
            </w:r>
            <w:r w:rsidR="00E55446">
              <w:rPr>
                <w:rFonts w:ascii="Times New Roman" w:eastAsia="Times New Roman" w:hAnsi="Times New Roman" w:cs="Times New Roman"/>
                <w:bCs/>
              </w:rPr>
              <w:t xml:space="preserve"> to support</w:t>
            </w:r>
            <w:r w:rsidR="009D6313">
              <w:rPr>
                <w:rFonts w:ascii="Times New Roman" w:eastAsia="Times New Roman" w:hAnsi="Times New Roman" w:cs="Times New Roman"/>
                <w:bCs/>
              </w:rPr>
              <w:t xml:space="preserve"> diverse campus community</w:t>
            </w:r>
            <w:r w:rsidR="003D0679">
              <w:rPr>
                <w:rFonts w:ascii="Times New Roman" w:eastAsia="Times New Roman" w:hAnsi="Times New Roman" w:cs="Times New Roman"/>
                <w:bCs/>
              </w:rPr>
              <w:t xml:space="preserve"> and provide individual and group counseling support</w:t>
            </w:r>
            <w:r w:rsidR="009D6313">
              <w:rPr>
                <w:rFonts w:ascii="Times New Roman" w:eastAsia="Times New Roman" w:hAnsi="Times New Roman" w:cs="Times New Roman"/>
                <w:bCs/>
              </w:rPr>
              <w:t>.</w:t>
            </w:r>
          </w:p>
          <w:p w14:paraId="4756C9DE" w14:textId="77777777" w:rsidR="00517630" w:rsidRPr="00D90F1F" w:rsidRDefault="00517630" w:rsidP="00D90F1F">
            <w:pPr>
              <w:jc w:val="left"/>
              <w:rPr>
                <w:rFonts w:ascii="Times New Roman" w:eastAsia="Times New Roman" w:hAnsi="Times New Roman" w:cs="Times New Roman"/>
                <w:bCs/>
              </w:rPr>
            </w:pPr>
          </w:p>
          <w:p w14:paraId="678B3039"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6C41F6CD" w14:textId="77777777" w:rsidR="007158B5" w:rsidRDefault="00217246" w:rsidP="00D90F1F">
            <w:pPr>
              <w:jc w:val="left"/>
              <w:rPr>
                <w:rFonts w:ascii="Times New Roman" w:eastAsia="Times New Roman" w:hAnsi="Times New Roman" w:cs="Times New Roman"/>
              </w:rPr>
            </w:pPr>
            <w:r>
              <w:rPr>
                <w:rFonts w:ascii="Times New Roman" w:eastAsia="Times New Roman" w:hAnsi="Times New Roman" w:cs="Times New Roman"/>
              </w:rPr>
              <w:t>1 PT-MH Counselor. - $58,000</w:t>
            </w:r>
          </w:p>
          <w:p w14:paraId="31E39210" w14:textId="77777777" w:rsidR="00217246" w:rsidRDefault="00217246" w:rsidP="00D90F1F">
            <w:pPr>
              <w:jc w:val="left"/>
              <w:rPr>
                <w:rFonts w:ascii="Times New Roman" w:eastAsia="Times New Roman" w:hAnsi="Times New Roman" w:cs="Times New Roman"/>
              </w:rPr>
            </w:pPr>
          </w:p>
          <w:p w14:paraId="61C5EE18" w14:textId="5BA3B685" w:rsidR="00217246" w:rsidRPr="00D90F1F" w:rsidRDefault="00217246" w:rsidP="00D90F1F">
            <w:pPr>
              <w:jc w:val="left"/>
              <w:rPr>
                <w:rFonts w:ascii="Times New Roman" w:eastAsia="Times New Roman" w:hAnsi="Times New Roman" w:cs="Times New Roman"/>
              </w:rPr>
            </w:pPr>
            <w:r>
              <w:rPr>
                <w:rFonts w:ascii="Times New Roman" w:eastAsia="Times New Roman" w:hAnsi="Times New Roman" w:cs="Times New Roman"/>
              </w:rPr>
              <w:t>2-FDIP’s - $50,000</w:t>
            </w:r>
          </w:p>
        </w:tc>
        <w:tc>
          <w:tcPr>
            <w:tcW w:w="1260" w:type="dxa"/>
            <w:vAlign w:val="center"/>
          </w:tcPr>
          <w:p w14:paraId="79D28FC3" w14:textId="77777777" w:rsidR="007158B5" w:rsidRDefault="00217246" w:rsidP="00D90F1F">
            <w:pPr>
              <w:jc w:val="left"/>
              <w:rPr>
                <w:rFonts w:ascii="Times New Roman" w:eastAsia="Times New Roman" w:hAnsi="Times New Roman" w:cs="Times New Roman"/>
              </w:rPr>
            </w:pPr>
            <w:r>
              <w:rPr>
                <w:rFonts w:ascii="Times New Roman" w:eastAsia="Times New Roman" w:hAnsi="Times New Roman" w:cs="Times New Roman"/>
              </w:rPr>
              <w:t>1 PT-MH Counselor - $14,000</w:t>
            </w:r>
          </w:p>
          <w:p w14:paraId="0631113C" w14:textId="77777777" w:rsidR="00217246" w:rsidRDefault="00217246" w:rsidP="00D90F1F">
            <w:pPr>
              <w:jc w:val="left"/>
              <w:rPr>
                <w:rFonts w:ascii="Times New Roman" w:eastAsia="Times New Roman" w:hAnsi="Times New Roman" w:cs="Times New Roman"/>
              </w:rPr>
            </w:pPr>
          </w:p>
          <w:p w14:paraId="014C046F" w14:textId="61F7EA11" w:rsidR="00217246" w:rsidRPr="00D90F1F" w:rsidRDefault="00217246" w:rsidP="00D90F1F">
            <w:pPr>
              <w:jc w:val="left"/>
              <w:rPr>
                <w:rFonts w:ascii="Times New Roman" w:eastAsia="Times New Roman" w:hAnsi="Times New Roman" w:cs="Times New Roman"/>
              </w:rPr>
            </w:pPr>
            <w:r>
              <w:rPr>
                <w:rFonts w:ascii="Times New Roman" w:eastAsia="Times New Roman" w:hAnsi="Times New Roman" w:cs="Times New Roman"/>
              </w:rPr>
              <w:t>2 FDIP’s - $4,000</w:t>
            </w:r>
          </w:p>
        </w:tc>
        <w:tc>
          <w:tcPr>
            <w:tcW w:w="1260" w:type="dxa"/>
            <w:shd w:val="clear" w:color="auto" w:fill="auto"/>
            <w:vAlign w:val="center"/>
          </w:tcPr>
          <w:p w14:paraId="7415C16B" w14:textId="2F43656A" w:rsidR="007158B5" w:rsidRDefault="00E55446" w:rsidP="00D90F1F">
            <w:pPr>
              <w:jc w:val="left"/>
              <w:rPr>
                <w:rFonts w:ascii="Times New Roman" w:eastAsia="Times New Roman" w:hAnsi="Times New Roman" w:cs="Times New Roman"/>
              </w:rPr>
            </w:pPr>
            <w:r>
              <w:rPr>
                <w:rFonts w:ascii="Times New Roman" w:eastAsia="Times New Roman" w:hAnsi="Times New Roman" w:cs="Times New Roman"/>
              </w:rPr>
              <w:t>1 P</w:t>
            </w:r>
            <w:r w:rsidR="00217246">
              <w:rPr>
                <w:rFonts w:ascii="Times New Roman" w:eastAsia="Times New Roman" w:hAnsi="Times New Roman" w:cs="Times New Roman"/>
              </w:rPr>
              <w:t xml:space="preserve">T-MH  </w:t>
            </w:r>
            <w:r>
              <w:rPr>
                <w:rFonts w:ascii="Times New Roman" w:eastAsia="Times New Roman" w:hAnsi="Times New Roman" w:cs="Times New Roman"/>
              </w:rPr>
              <w:t xml:space="preserve">Counselor = </w:t>
            </w:r>
            <w:r w:rsidR="00217246">
              <w:rPr>
                <w:rFonts w:ascii="Times New Roman" w:eastAsia="Times New Roman" w:hAnsi="Times New Roman" w:cs="Times New Roman"/>
              </w:rPr>
              <w:t>$72,000</w:t>
            </w:r>
          </w:p>
          <w:p w14:paraId="76E55FAF" w14:textId="77777777" w:rsidR="00E55446" w:rsidRDefault="00E55446" w:rsidP="00D90F1F">
            <w:pPr>
              <w:jc w:val="left"/>
              <w:rPr>
                <w:rFonts w:ascii="Times New Roman" w:eastAsia="Times New Roman" w:hAnsi="Times New Roman" w:cs="Times New Roman"/>
              </w:rPr>
            </w:pPr>
          </w:p>
          <w:p w14:paraId="5C82A25B" w14:textId="581B381C" w:rsidR="00E55446" w:rsidRDefault="00E55446" w:rsidP="00D90F1F">
            <w:pPr>
              <w:jc w:val="left"/>
              <w:rPr>
                <w:rFonts w:ascii="Times New Roman" w:eastAsia="Times New Roman" w:hAnsi="Times New Roman" w:cs="Times New Roman"/>
              </w:rPr>
            </w:pPr>
            <w:r>
              <w:rPr>
                <w:rFonts w:ascii="Times New Roman" w:eastAsia="Times New Roman" w:hAnsi="Times New Roman" w:cs="Times New Roman"/>
              </w:rPr>
              <w:t>2 Part-time FDIP’s</w:t>
            </w:r>
            <w:r w:rsidR="00724B07">
              <w:rPr>
                <w:rFonts w:ascii="Times New Roman" w:eastAsia="Times New Roman" w:hAnsi="Times New Roman" w:cs="Times New Roman"/>
              </w:rPr>
              <w:t xml:space="preserve"> =</w:t>
            </w:r>
            <w:r w:rsidR="00217246">
              <w:rPr>
                <w:rFonts w:ascii="Times New Roman" w:eastAsia="Times New Roman" w:hAnsi="Times New Roman" w:cs="Times New Roman"/>
              </w:rPr>
              <w:t xml:space="preserve"> $54,000</w:t>
            </w:r>
          </w:p>
          <w:p w14:paraId="58247BE7" w14:textId="77777777" w:rsidR="00E55446" w:rsidRDefault="00E55446" w:rsidP="00D90F1F">
            <w:pPr>
              <w:jc w:val="left"/>
              <w:rPr>
                <w:rFonts w:ascii="Times New Roman" w:eastAsia="Times New Roman" w:hAnsi="Times New Roman" w:cs="Times New Roman"/>
              </w:rPr>
            </w:pPr>
          </w:p>
          <w:p w14:paraId="6F889204" w14:textId="77777777" w:rsidR="00E55446" w:rsidRDefault="00E55446" w:rsidP="00D90F1F">
            <w:pPr>
              <w:jc w:val="left"/>
              <w:rPr>
                <w:rFonts w:ascii="Times New Roman" w:eastAsia="Times New Roman" w:hAnsi="Times New Roman" w:cs="Times New Roman"/>
              </w:rPr>
            </w:pPr>
          </w:p>
          <w:p w14:paraId="5C52D783" w14:textId="0AB226D6" w:rsidR="00E55446" w:rsidRPr="00D90F1F" w:rsidRDefault="00E55446" w:rsidP="00D90F1F">
            <w:pPr>
              <w:jc w:val="left"/>
              <w:rPr>
                <w:rFonts w:ascii="Times New Roman" w:eastAsia="Times New Roman" w:hAnsi="Times New Roman" w:cs="Times New Roman"/>
              </w:rPr>
            </w:pPr>
          </w:p>
        </w:tc>
      </w:tr>
      <w:tr w:rsidR="00E32A65" w:rsidRPr="005C5524" w14:paraId="4CD4EF3F" w14:textId="77777777" w:rsidTr="00D90F1F">
        <w:trPr>
          <w:trHeight w:val="291"/>
          <w:jc w:val="center"/>
        </w:trPr>
        <w:tc>
          <w:tcPr>
            <w:tcW w:w="3116" w:type="dxa"/>
            <w:shd w:val="clear" w:color="auto" w:fill="auto"/>
            <w:vAlign w:val="center"/>
          </w:tcPr>
          <w:p w14:paraId="571A1549" w14:textId="4AC913F3"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Full Time Faculty</w:t>
            </w:r>
          </w:p>
          <w:p w14:paraId="1EAF7600" w14:textId="77777777" w:rsidR="007158B5" w:rsidRPr="00F40124" w:rsidRDefault="007158B5" w:rsidP="00D90F1F">
            <w:pPr>
              <w:jc w:val="left"/>
              <w:rPr>
                <w:rFonts w:ascii="Segoe UI" w:eastAsia="Times New Roman" w:hAnsi="Segoe UI" w:cs="Segoe UI"/>
                <w:bCs/>
                <w:sz w:val="20"/>
                <w:szCs w:val="20"/>
              </w:rPr>
            </w:pPr>
          </w:p>
          <w:p w14:paraId="4C4EA7BB" w14:textId="77777777" w:rsidR="00B145A3" w:rsidRPr="00F40124" w:rsidRDefault="00B145A3" w:rsidP="00D90F1F">
            <w:pPr>
              <w:jc w:val="left"/>
              <w:rPr>
                <w:rFonts w:ascii="Segoe UI" w:eastAsia="Times New Roman" w:hAnsi="Segoe UI" w:cs="Segoe UI"/>
                <w:bCs/>
                <w:sz w:val="20"/>
                <w:szCs w:val="20"/>
              </w:rPr>
            </w:pPr>
          </w:p>
          <w:p w14:paraId="00858096"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1CA2B131" w14:textId="3C3AD875" w:rsidR="007158B5" w:rsidRPr="00D90F1F" w:rsidRDefault="003D0679" w:rsidP="00D90F1F">
            <w:pPr>
              <w:jc w:val="left"/>
              <w:rPr>
                <w:rFonts w:ascii="Times New Roman" w:eastAsia="Times New Roman" w:hAnsi="Times New Roman" w:cs="Times New Roman"/>
                <w:bCs/>
              </w:rPr>
            </w:pPr>
            <w:r>
              <w:rPr>
                <w:rFonts w:ascii="Times New Roman" w:eastAsia="Times New Roman" w:hAnsi="Times New Roman" w:cs="Times New Roman"/>
                <w:bCs/>
              </w:rPr>
              <w:t xml:space="preserve">There is a need for  an 11- month contract and extra service.  The Health Services Coordinator position (and the only </w:t>
            </w:r>
            <w:r>
              <w:rPr>
                <w:rFonts w:ascii="Times New Roman" w:eastAsia="Times New Roman" w:hAnsi="Times New Roman" w:cs="Times New Roman"/>
                <w:bCs/>
              </w:rPr>
              <w:lastRenderedPageBreak/>
              <w:t>position in Health Services) is a big job with multiple essential functions. The demand for mental health and wellness services will continue to grow. The job is impossible to do in a 10-month, 30 hour per week contract.</w:t>
            </w:r>
          </w:p>
          <w:p w14:paraId="28746F35" w14:textId="77777777" w:rsidR="00517630" w:rsidRPr="00D90F1F" w:rsidRDefault="00517630" w:rsidP="00D90F1F">
            <w:pPr>
              <w:jc w:val="left"/>
              <w:rPr>
                <w:rFonts w:ascii="Times New Roman" w:eastAsia="Times New Roman" w:hAnsi="Times New Roman" w:cs="Times New Roman"/>
                <w:bCs/>
              </w:rPr>
            </w:pPr>
          </w:p>
          <w:p w14:paraId="15DB1165"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10371651"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2C5FC940"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66E48A47" w14:textId="77777777" w:rsidR="007158B5" w:rsidRDefault="00E32A65" w:rsidP="00D90F1F">
            <w:pPr>
              <w:jc w:val="left"/>
              <w:rPr>
                <w:rFonts w:ascii="Times New Roman" w:eastAsia="Times New Roman" w:hAnsi="Times New Roman" w:cs="Times New Roman"/>
              </w:rPr>
            </w:pPr>
            <w:proofErr w:type="gramStart"/>
            <w:r>
              <w:rPr>
                <w:rFonts w:ascii="Times New Roman" w:eastAsia="Times New Roman" w:hAnsi="Times New Roman" w:cs="Times New Roman"/>
              </w:rPr>
              <w:t>11 month</w:t>
            </w:r>
            <w:proofErr w:type="gramEnd"/>
            <w:r>
              <w:rPr>
                <w:rFonts w:ascii="Times New Roman" w:eastAsia="Times New Roman" w:hAnsi="Times New Roman" w:cs="Times New Roman"/>
              </w:rPr>
              <w:t xml:space="preserve"> contract - </w:t>
            </w:r>
            <w:r w:rsidR="00217246">
              <w:rPr>
                <w:rFonts w:ascii="Times New Roman" w:eastAsia="Times New Roman" w:hAnsi="Times New Roman" w:cs="Times New Roman"/>
              </w:rPr>
              <w:t>$10,000</w:t>
            </w:r>
          </w:p>
          <w:p w14:paraId="6A8D8480" w14:textId="77777777" w:rsidR="00E32A65" w:rsidRDefault="00E32A65" w:rsidP="00D90F1F">
            <w:pPr>
              <w:jc w:val="left"/>
              <w:rPr>
                <w:rFonts w:ascii="Times New Roman" w:eastAsia="Times New Roman" w:hAnsi="Times New Roman" w:cs="Times New Roman"/>
              </w:rPr>
            </w:pPr>
          </w:p>
          <w:p w14:paraId="71B877B3" w14:textId="446C7DCC" w:rsidR="00E32A65" w:rsidRPr="00D90F1F" w:rsidRDefault="00E32A65" w:rsidP="00D90F1F">
            <w:pPr>
              <w:jc w:val="left"/>
              <w:rPr>
                <w:rFonts w:ascii="Times New Roman" w:eastAsia="Times New Roman" w:hAnsi="Times New Roman" w:cs="Times New Roman"/>
              </w:rPr>
            </w:pPr>
            <w:r>
              <w:rPr>
                <w:rFonts w:ascii="Times New Roman" w:eastAsia="Times New Roman" w:hAnsi="Times New Roman" w:cs="Times New Roman"/>
              </w:rPr>
              <w:lastRenderedPageBreak/>
              <w:t>Extra service - $6,100</w:t>
            </w:r>
          </w:p>
        </w:tc>
      </w:tr>
    </w:tbl>
    <w:p w14:paraId="050E23C0" w14:textId="77777777" w:rsidR="00D90F1F" w:rsidRPr="005A4E46" w:rsidRDefault="00D90F1F" w:rsidP="00AB7D49">
      <w:pPr>
        <w:rPr>
          <w:rFonts w:ascii="Segoe UI" w:hAnsi="Segoe UI" w:cs="Segoe UI"/>
        </w:rPr>
      </w:pPr>
    </w:p>
    <w:p w14:paraId="1AE8AE59" w14:textId="77777777" w:rsidR="00AB7D49" w:rsidRPr="005A4E46" w:rsidRDefault="00AB7D49"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07071D99" w14:textId="77777777" w:rsidTr="00517630">
        <w:trPr>
          <w:trHeight w:val="583"/>
          <w:jc w:val="center"/>
        </w:trPr>
        <w:tc>
          <w:tcPr>
            <w:tcW w:w="3150" w:type="dxa"/>
            <w:shd w:val="clear" w:color="auto" w:fill="auto"/>
            <w:vAlign w:val="center"/>
          </w:tcPr>
          <w:p w14:paraId="6B7543DA"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0CB8F2E4"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2E4ACF80"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4EC1B4E5" w14:textId="77777777" w:rsidTr="00517630">
        <w:trPr>
          <w:trHeight w:val="291"/>
          <w:jc w:val="center"/>
        </w:trPr>
        <w:tc>
          <w:tcPr>
            <w:tcW w:w="3150" w:type="dxa"/>
            <w:shd w:val="clear" w:color="auto" w:fill="auto"/>
          </w:tcPr>
          <w:p w14:paraId="37071D9F" w14:textId="4EA24C03"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w:t>
            </w:r>
            <w:r w:rsidR="005C5524" w:rsidRPr="00F40124">
              <w:rPr>
                <w:rFonts w:ascii="Segoe UI" w:eastAsia="Times New Roman" w:hAnsi="Segoe UI" w:cs="Segoe UI"/>
                <w:bCs/>
                <w:sz w:val="20"/>
                <w:szCs w:val="20"/>
              </w:rPr>
              <w:t xml:space="preserve"> </w:t>
            </w:r>
            <w:r w:rsidRPr="00F40124">
              <w:rPr>
                <w:rFonts w:ascii="Segoe UI" w:eastAsia="Times New Roman" w:hAnsi="Segoe UI" w:cs="Segoe UI"/>
                <w:bCs/>
                <w:sz w:val="20"/>
                <w:szCs w:val="20"/>
              </w:rPr>
              <w:t>Development: Department wide PD needed</w:t>
            </w:r>
          </w:p>
          <w:p w14:paraId="27082897" w14:textId="77777777" w:rsidR="00517630" w:rsidRPr="00F40124" w:rsidRDefault="00517630" w:rsidP="00F40124">
            <w:pPr>
              <w:jc w:val="left"/>
              <w:rPr>
                <w:rFonts w:ascii="Segoe UI" w:eastAsia="Times New Roman" w:hAnsi="Segoe UI" w:cs="Segoe UI"/>
                <w:bCs/>
                <w:sz w:val="20"/>
                <w:szCs w:val="20"/>
              </w:rPr>
            </w:pPr>
          </w:p>
          <w:p w14:paraId="7F09FBCC" w14:textId="77777777" w:rsidR="00B145A3" w:rsidRPr="00F40124" w:rsidRDefault="00B145A3" w:rsidP="00F40124">
            <w:pPr>
              <w:jc w:val="left"/>
              <w:rPr>
                <w:rFonts w:ascii="Segoe UI" w:eastAsia="Times New Roman" w:hAnsi="Segoe UI" w:cs="Segoe UI"/>
                <w:bCs/>
                <w:sz w:val="20"/>
                <w:szCs w:val="20"/>
              </w:rPr>
            </w:pPr>
          </w:p>
          <w:p w14:paraId="3D0DC43C"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542E06D7" w14:textId="77777777" w:rsidR="00517630" w:rsidRPr="00D90F1F" w:rsidRDefault="00517630" w:rsidP="002C0B40">
            <w:pPr>
              <w:rPr>
                <w:rFonts w:ascii="Times New Roman" w:eastAsia="Times New Roman" w:hAnsi="Times New Roman" w:cs="Times New Roman"/>
                <w:bCs/>
              </w:rPr>
            </w:pPr>
          </w:p>
          <w:p w14:paraId="04C9462B" w14:textId="19C7B5F8" w:rsidR="00517630" w:rsidRPr="00D90F1F" w:rsidRDefault="00F946E4" w:rsidP="002C0B40">
            <w:pPr>
              <w:rPr>
                <w:rFonts w:ascii="Times New Roman" w:eastAsia="Times New Roman" w:hAnsi="Times New Roman" w:cs="Times New Roman"/>
                <w:bCs/>
              </w:rPr>
            </w:pPr>
            <w:r>
              <w:rPr>
                <w:rFonts w:ascii="Times New Roman" w:eastAsia="Times New Roman" w:hAnsi="Times New Roman" w:cs="Times New Roman"/>
                <w:bCs/>
              </w:rPr>
              <w:t>Graduate level MFT Trainees provide the majority of direct individual counseling sessions for students and need up-to-date information on best practices in the field including, but not limited to: law &amp; ethics, crisis intervention, cultural sensitivity, and trauma.</w:t>
            </w:r>
          </w:p>
          <w:p w14:paraId="38958DDA" w14:textId="4528F5A6" w:rsidR="00517630" w:rsidRPr="00D90F1F" w:rsidRDefault="00517630" w:rsidP="002C0B40">
            <w:pPr>
              <w:rPr>
                <w:rFonts w:ascii="Times New Roman" w:eastAsia="Times New Roman" w:hAnsi="Times New Roman" w:cs="Times New Roman"/>
                <w:bCs/>
              </w:rPr>
            </w:pPr>
          </w:p>
          <w:p w14:paraId="5C6FC0CE" w14:textId="77777777" w:rsidR="00517630" w:rsidRPr="00D90F1F" w:rsidRDefault="00517630" w:rsidP="002C0B40">
            <w:pPr>
              <w:rPr>
                <w:rFonts w:ascii="Times New Roman" w:eastAsia="Times New Roman" w:hAnsi="Times New Roman" w:cs="Times New Roman"/>
                <w:bCs/>
              </w:rPr>
            </w:pPr>
          </w:p>
        </w:tc>
        <w:tc>
          <w:tcPr>
            <w:tcW w:w="1260" w:type="dxa"/>
            <w:shd w:val="clear" w:color="auto" w:fill="auto"/>
          </w:tcPr>
          <w:p w14:paraId="46448C28" w14:textId="236D651F" w:rsidR="00517630" w:rsidRPr="00D90F1F" w:rsidRDefault="00F946E4" w:rsidP="002C0B40">
            <w:pPr>
              <w:rPr>
                <w:rFonts w:ascii="Times New Roman" w:eastAsia="Times New Roman" w:hAnsi="Times New Roman" w:cs="Times New Roman"/>
              </w:rPr>
            </w:pPr>
            <w:r>
              <w:rPr>
                <w:rFonts w:ascii="Times New Roman" w:eastAsia="Times New Roman" w:hAnsi="Times New Roman" w:cs="Times New Roman"/>
              </w:rPr>
              <w:t>$750</w:t>
            </w:r>
          </w:p>
        </w:tc>
      </w:tr>
      <w:tr w:rsidR="00517630" w:rsidRPr="005C5524" w14:paraId="1C1BE1D9" w14:textId="77777777" w:rsidTr="00517630">
        <w:trPr>
          <w:trHeight w:val="291"/>
          <w:jc w:val="center"/>
        </w:trPr>
        <w:tc>
          <w:tcPr>
            <w:tcW w:w="3150" w:type="dxa"/>
            <w:shd w:val="clear" w:color="auto" w:fill="auto"/>
          </w:tcPr>
          <w:p w14:paraId="78459146"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 Development: Personal/Individual PD needed</w:t>
            </w:r>
          </w:p>
          <w:p w14:paraId="1FE333B3" w14:textId="77777777" w:rsidR="00517630" w:rsidRPr="00F40124" w:rsidRDefault="00517630" w:rsidP="00F40124">
            <w:pPr>
              <w:jc w:val="left"/>
              <w:rPr>
                <w:rFonts w:ascii="Segoe UI" w:eastAsia="Times New Roman" w:hAnsi="Segoe UI" w:cs="Segoe UI"/>
                <w:bCs/>
                <w:sz w:val="20"/>
                <w:szCs w:val="20"/>
              </w:rPr>
            </w:pPr>
          </w:p>
          <w:p w14:paraId="6A432ADF" w14:textId="77777777" w:rsidR="00B145A3" w:rsidRPr="00F40124" w:rsidRDefault="00B145A3" w:rsidP="00F40124">
            <w:pPr>
              <w:jc w:val="left"/>
              <w:rPr>
                <w:rFonts w:ascii="Segoe UI" w:eastAsia="Times New Roman" w:hAnsi="Segoe UI" w:cs="Segoe UI"/>
                <w:bCs/>
                <w:sz w:val="20"/>
                <w:szCs w:val="20"/>
              </w:rPr>
            </w:pPr>
          </w:p>
          <w:p w14:paraId="2DD0ACD7"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0637169C" w14:textId="02915076" w:rsidR="00517630" w:rsidRPr="00D90F1F" w:rsidRDefault="00F946E4" w:rsidP="002C0B40">
            <w:pPr>
              <w:rPr>
                <w:rFonts w:ascii="Times New Roman" w:eastAsia="Times New Roman" w:hAnsi="Times New Roman" w:cs="Times New Roman"/>
                <w:bCs/>
              </w:rPr>
            </w:pPr>
            <w:r>
              <w:rPr>
                <w:rFonts w:ascii="Times New Roman" w:eastAsia="Times New Roman" w:hAnsi="Times New Roman" w:cs="Times New Roman"/>
                <w:bCs/>
              </w:rPr>
              <w:t xml:space="preserve">Licensed Professional Clinical Counselors are required to obtain </w:t>
            </w:r>
            <w:r w:rsidR="003D3BEB">
              <w:rPr>
                <w:rFonts w:ascii="Times New Roman" w:eastAsia="Times New Roman" w:hAnsi="Times New Roman" w:cs="Times New Roman"/>
                <w:bCs/>
              </w:rPr>
              <w:t>36 hours of continuing education every two years in order to maintain the license and continue the ability to supervise MFT Trainees/Interns.</w:t>
            </w:r>
          </w:p>
          <w:p w14:paraId="0A6B04AA" w14:textId="77777777" w:rsidR="00517630" w:rsidRPr="00D90F1F" w:rsidRDefault="00517630" w:rsidP="002C0B40">
            <w:pPr>
              <w:rPr>
                <w:rFonts w:ascii="Times New Roman" w:eastAsia="Times New Roman" w:hAnsi="Times New Roman" w:cs="Times New Roman"/>
                <w:bCs/>
              </w:rPr>
            </w:pPr>
          </w:p>
          <w:p w14:paraId="469EA4C1" w14:textId="77777777" w:rsidR="00517630" w:rsidRPr="00D90F1F" w:rsidRDefault="00517630" w:rsidP="002C0B40">
            <w:pPr>
              <w:rPr>
                <w:rFonts w:ascii="Times New Roman" w:eastAsia="Times New Roman" w:hAnsi="Times New Roman" w:cs="Times New Roman"/>
                <w:bCs/>
              </w:rPr>
            </w:pPr>
          </w:p>
        </w:tc>
        <w:tc>
          <w:tcPr>
            <w:tcW w:w="1260" w:type="dxa"/>
            <w:shd w:val="clear" w:color="auto" w:fill="auto"/>
          </w:tcPr>
          <w:p w14:paraId="4F236664" w14:textId="08D78C55" w:rsidR="00517630" w:rsidRPr="00D90F1F" w:rsidRDefault="00F946E4" w:rsidP="002C0B40">
            <w:pPr>
              <w:rPr>
                <w:rFonts w:ascii="Times New Roman" w:eastAsia="Times New Roman" w:hAnsi="Times New Roman" w:cs="Times New Roman"/>
              </w:rPr>
            </w:pPr>
            <w:r>
              <w:rPr>
                <w:rFonts w:ascii="Times New Roman" w:eastAsia="Times New Roman" w:hAnsi="Times New Roman" w:cs="Times New Roman"/>
              </w:rPr>
              <w:t>$500</w:t>
            </w:r>
          </w:p>
        </w:tc>
      </w:tr>
    </w:tbl>
    <w:p w14:paraId="015B9C11" w14:textId="77777777" w:rsidR="00312A82" w:rsidRPr="005A4E46" w:rsidRDefault="00312A82"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6CD18050" w14:textId="77777777" w:rsidTr="00517630">
        <w:trPr>
          <w:trHeight w:val="583"/>
          <w:jc w:val="center"/>
        </w:trPr>
        <w:tc>
          <w:tcPr>
            <w:tcW w:w="3150" w:type="dxa"/>
            <w:shd w:val="clear" w:color="auto" w:fill="auto"/>
            <w:vAlign w:val="center"/>
          </w:tcPr>
          <w:p w14:paraId="327EE80E"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49993D8C"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16DB0EB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0AB6E64A" w14:textId="77777777" w:rsidTr="00517630">
        <w:trPr>
          <w:trHeight w:val="291"/>
          <w:jc w:val="center"/>
        </w:trPr>
        <w:tc>
          <w:tcPr>
            <w:tcW w:w="3150" w:type="dxa"/>
            <w:shd w:val="clear" w:color="auto" w:fill="auto"/>
          </w:tcPr>
          <w:p w14:paraId="42A5833F" w14:textId="4D26D634"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Software</w:t>
            </w:r>
          </w:p>
        </w:tc>
        <w:tc>
          <w:tcPr>
            <w:tcW w:w="5207" w:type="dxa"/>
            <w:shd w:val="clear" w:color="auto" w:fill="auto"/>
          </w:tcPr>
          <w:p w14:paraId="62A8DF40" w14:textId="77777777" w:rsidR="00517630" w:rsidRPr="00D90F1F" w:rsidRDefault="00517630" w:rsidP="002C0B40">
            <w:pPr>
              <w:rPr>
                <w:rFonts w:ascii="Times New Roman" w:eastAsia="Times New Roman" w:hAnsi="Times New Roman" w:cs="Times New Roman"/>
              </w:rPr>
            </w:pPr>
          </w:p>
          <w:p w14:paraId="6B3494D6" w14:textId="77777777" w:rsidR="00517630" w:rsidRDefault="00517630" w:rsidP="002C0B40">
            <w:pPr>
              <w:rPr>
                <w:rFonts w:ascii="Times New Roman" w:eastAsia="Times New Roman" w:hAnsi="Times New Roman" w:cs="Times New Roman"/>
              </w:rPr>
            </w:pPr>
          </w:p>
          <w:p w14:paraId="0B4A9D8C" w14:textId="65F460DB" w:rsidR="00F75149" w:rsidRPr="00D90F1F" w:rsidRDefault="00F75149" w:rsidP="002C0B40">
            <w:pPr>
              <w:rPr>
                <w:rFonts w:ascii="Times New Roman" w:eastAsia="Times New Roman" w:hAnsi="Times New Roman" w:cs="Times New Roman"/>
              </w:rPr>
            </w:pPr>
          </w:p>
        </w:tc>
        <w:tc>
          <w:tcPr>
            <w:tcW w:w="1260" w:type="dxa"/>
            <w:shd w:val="clear" w:color="auto" w:fill="auto"/>
          </w:tcPr>
          <w:p w14:paraId="488AAA5F" w14:textId="77777777" w:rsidR="00517630" w:rsidRPr="00D90F1F" w:rsidRDefault="00517630" w:rsidP="002C0B40">
            <w:pPr>
              <w:rPr>
                <w:rFonts w:ascii="Times New Roman" w:eastAsia="Times New Roman" w:hAnsi="Times New Roman" w:cs="Times New Roman"/>
              </w:rPr>
            </w:pPr>
          </w:p>
        </w:tc>
      </w:tr>
      <w:tr w:rsidR="00517630" w:rsidRPr="005C5524" w14:paraId="425DBB6C" w14:textId="77777777" w:rsidTr="00517630">
        <w:trPr>
          <w:trHeight w:val="291"/>
          <w:jc w:val="center"/>
        </w:trPr>
        <w:tc>
          <w:tcPr>
            <w:tcW w:w="3150" w:type="dxa"/>
            <w:shd w:val="clear" w:color="auto" w:fill="auto"/>
          </w:tcPr>
          <w:p w14:paraId="25AD6E51"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Books, Magazines, and/or Periodicals</w:t>
            </w:r>
          </w:p>
          <w:p w14:paraId="096DCD34"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54660B12" w14:textId="77777777" w:rsidR="00517630" w:rsidRPr="00D90F1F" w:rsidRDefault="00517630" w:rsidP="002C0B40">
            <w:pPr>
              <w:rPr>
                <w:rFonts w:ascii="Times New Roman" w:eastAsia="Times New Roman" w:hAnsi="Times New Roman" w:cs="Times New Roman"/>
              </w:rPr>
            </w:pPr>
          </w:p>
          <w:p w14:paraId="69C3A0CE" w14:textId="77777777" w:rsidR="00517630" w:rsidRPr="00D90F1F" w:rsidRDefault="00517630" w:rsidP="002C0B40">
            <w:pPr>
              <w:rPr>
                <w:rFonts w:ascii="Times New Roman" w:eastAsia="Times New Roman" w:hAnsi="Times New Roman" w:cs="Times New Roman"/>
              </w:rPr>
            </w:pPr>
          </w:p>
          <w:p w14:paraId="534CE5C3"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4817567C" w14:textId="77777777" w:rsidR="00517630" w:rsidRPr="00D90F1F" w:rsidRDefault="00517630" w:rsidP="002C0B40">
            <w:pPr>
              <w:rPr>
                <w:rFonts w:ascii="Times New Roman" w:eastAsia="Times New Roman" w:hAnsi="Times New Roman" w:cs="Times New Roman"/>
              </w:rPr>
            </w:pPr>
          </w:p>
        </w:tc>
      </w:tr>
      <w:tr w:rsidR="00517630" w:rsidRPr="005C5524" w14:paraId="46717C2B" w14:textId="77777777" w:rsidTr="00517630">
        <w:trPr>
          <w:trHeight w:val="291"/>
          <w:jc w:val="center"/>
        </w:trPr>
        <w:tc>
          <w:tcPr>
            <w:tcW w:w="3150" w:type="dxa"/>
            <w:shd w:val="clear" w:color="auto" w:fill="auto"/>
          </w:tcPr>
          <w:p w14:paraId="20EBF90D"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Instructional Supplies</w:t>
            </w:r>
          </w:p>
          <w:p w14:paraId="17BE20E5"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7400BB5E" w14:textId="77777777" w:rsidR="00517630" w:rsidRPr="00D90F1F" w:rsidRDefault="00517630" w:rsidP="002C0B40">
            <w:pPr>
              <w:rPr>
                <w:rFonts w:ascii="Times New Roman" w:eastAsia="Times New Roman" w:hAnsi="Times New Roman" w:cs="Times New Roman"/>
              </w:rPr>
            </w:pPr>
          </w:p>
          <w:p w14:paraId="5B20FE9B" w14:textId="77777777" w:rsidR="00517630" w:rsidRPr="00D90F1F" w:rsidRDefault="00517630" w:rsidP="002C0B40">
            <w:pPr>
              <w:rPr>
                <w:rFonts w:ascii="Times New Roman" w:eastAsia="Times New Roman" w:hAnsi="Times New Roman" w:cs="Times New Roman"/>
              </w:rPr>
            </w:pPr>
          </w:p>
          <w:p w14:paraId="3F1CD840"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50A0DE00" w14:textId="77777777" w:rsidR="00517630" w:rsidRPr="00D90F1F" w:rsidRDefault="00517630" w:rsidP="002C0B40">
            <w:pPr>
              <w:rPr>
                <w:rFonts w:ascii="Times New Roman" w:eastAsia="Times New Roman" w:hAnsi="Times New Roman" w:cs="Times New Roman"/>
              </w:rPr>
            </w:pPr>
          </w:p>
        </w:tc>
      </w:tr>
      <w:tr w:rsidR="00517630" w:rsidRPr="005C5524" w14:paraId="5040969F" w14:textId="77777777" w:rsidTr="00517630">
        <w:trPr>
          <w:trHeight w:val="291"/>
          <w:jc w:val="center"/>
        </w:trPr>
        <w:tc>
          <w:tcPr>
            <w:tcW w:w="3150" w:type="dxa"/>
            <w:shd w:val="clear" w:color="auto" w:fill="auto"/>
          </w:tcPr>
          <w:p w14:paraId="0AB5531E"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Non-Instructional Supplies</w:t>
            </w:r>
          </w:p>
          <w:p w14:paraId="6942630A"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32DE58DD" w14:textId="77777777" w:rsidR="00517630" w:rsidRPr="00D90F1F" w:rsidRDefault="00517630" w:rsidP="002C0B40">
            <w:pPr>
              <w:rPr>
                <w:rFonts w:ascii="Times New Roman" w:eastAsia="Times New Roman" w:hAnsi="Times New Roman" w:cs="Times New Roman"/>
              </w:rPr>
            </w:pPr>
          </w:p>
          <w:p w14:paraId="1703F526" w14:textId="77777777" w:rsidR="00517630" w:rsidRPr="00D90F1F" w:rsidRDefault="00517630" w:rsidP="002C0B40">
            <w:pPr>
              <w:rPr>
                <w:rFonts w:ascii="Times New Roman" w:eastAsia="Times New Roman" w:hAnsi="Times New Roman" w:cs="Times New Roman"/>
              </w:rPr>
            </w:pPr>
          </w:p>
          <w:p w14:paraId="0DE064A3" w14:textId="77777777" w:rsidR="00517630" w:rsidRPr="00D90F1F" w:rsidRDefault="00517630" w:rsidP="002C0B40">
            <w:pPr>
              <w:rPr>
                <w:rFonts w:ascii="Times New Roman" w:eastAsia="Times New Roman" w:hAnsi="Times New Roman" w:cs="Times New Roman"/>
              </w:rPr>
            </w:pPr>
          </w:p>
          <w:p w14:paraId="74816CAC"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2432E9D0" w14:textId="77777777" w:rsidR="00517630" w:rsidRPr="00D90F1F" w:rsidRDefault="00517630" w:rsidP="002C0B40">
            <w:pPr>
              <w:rPr>
                <w:rFonts w:ascii="Times New Roman" w:eastAsia="Times New Roman" w:hAnsi="Times New Roman" w:cs="Times New Roman"/>
              </w:rPr>
            </w:pPr>
          </w:p>
        </w:tc>
      </w:tr>
      <w:tr w:rsidR="00517630" w:rsidRPr="005C5524" w14:paraId="6A0E903A" w14:textId="77777777" w:rsidTr="00517630">
        <w:trPr>
          <w:trHeight w:val="291"/>
          <w:jc w:val="center"/>
        </w:trPr>
        <w:tc>
          <w:tcPr>
            <w:tcW w:w="3150" w:type="dxa"/>
            <w:shd w:val="clear" w:color="auto" w:fill="auto"/>
          </w:tcPr>
          <w:p w14:paraId="58DF253B"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lastRenderedPageBreak/>
              <w:t>Supplies: Library Collections</w:t>
            </w:r>
          </w:p>
          <w:p w14:paraId="03A42F9D" w14:textId="77777777" w:rsidR="00517630" w:rsidRPr="00F40124" w:rsidRDefault="00517630" w:rsidP="00517630">
            <w:pPr>
              <w:rPr>
                <w:rFonts w:ascii="Segoe UI" w:eastAsia="Times New Roman" w:hAnsi="Segoe UI" w:cs="Segoe UI"/>
                <w:bCs/>
                <w:sz w:val="20"/>
                <w:szCs w:val="20"/>
              </w:rPr>
            </w:pPr>
          </w:p>
        </w:tc>
        <w:tc>
          <w:tcPr>
            <w:tcW w:w="5207" w:type="dxa"/>
            <w:shd w:val="clear" w:color="auto" w:fill="auto"/>
          </w:tcPr>
          <w:p w14:paraId="4CC35215" w14:textId="77777777" w:rsidR="00517630" w:rsidRPr="00D90F1F" w:rsidRDefault="00517630" w:rsidP="002C0B40">
            <w:pPr>
              <w:rPr>
                <w:rFonts w:ascii="Times New Roman" w:eastAsia="Times New Roman" w:hAnsi="Times New Roman" w:cs="Times New Roman"/>
              </w:rPr>
            </w:pPr>
          </w:p>
          <w:p w14:paraId="7C30C45F" w14:textId="77777777" w:rsidR="00517630" w:rsidRPr="00D90F1F" w:rsidRDefault="00517630" w:rsidP="002C0B40">
            <w:pPr>
              <w:rPr>
                <w:rFonts w:ascii="Times New Roman" w:eastAsia="Times New Roman" w:hAnsi="Times New Roman" w:cs="Times New Roman"/>
              </w:rPr>
            </w:pPr>
          </w:p>
          <w:p w14:paraId="75EA5B0F" w14:textId="77777777" w:rsidR="00517630" w:rsidRPr="00D90F1F" w:rsidRDefault="00517630" w:rsidP="002C0B40">
            <w:pPr>
              <w:rPr>
                <w:rFonts w:ascii="Times New Roman" w:eastAsia="Times New Roman" w:hAnsi="Times New Roman" w:cs="Times New Roman"/>
              </w:rPr>
            </w:pPr>
          </w:p>
          <w:p w14:paraId="3AB433AE"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2E2F5CF9" w14:textId="77777777" w:rsidR="00517630" w:rsidRPr="00D90F1F" w:rsidRDefault="00517630" w:rsidP="002C0B40">
            <w:pPr>
              <w:rPr>
                <w:rFonts w:ascii="Times New Roman" w:eastAsia="Times New Roman" w:hAnsi="Times New Roman" w:cs="Times New Roman"/>
              </w:rPr>
            </w:pPr>
          </w:p>
        </w:tc>
      </w:tr>
    </w:tbl>
    <w:p w14:paraId="33602AA9" w14:textId="77777777" w:rsidR="00FD522B" w:rsidRPr="005A4E46" w:rsidRDefault="00FD522B" w:rsidP="00AB7D49">
      <w:pPr>
        <w:rPr>
          <w:rFonts w:ascii="Segoe UI" w:hAnsi="Segoe UI" w:cs="Segoe UI"/>
        </w:rPr>
      </w:pPr>
    </w:p>
    <w:tbl>
      <w:tblPr>
        <w:tblStyle w:val="TableGrid1"/>
        <w:tblW w:w="9681" w:type="dxa"/>
        <w:tblInd w:w="-185" w:type="dxa"/>
        <w:tblLook w:val="04A0" w:firstRow="1" w:lastRow="0" w:firstColumn="1" w:lastColumn="0" w:noHBand="0" w:noVBand="1"/>
      </w:tblPr>
      <w:tblGrid>
        <w:gridCol w:w="3294"/>
        <w:gridCol w:w="5143"/>
        <w:gridCol w:w="1244"/>
      </w:tblGrid>
      <w:tr w:rsidR="00FD522B" w:rsidRPr="005C5524" w14:paraId="1F8E3EDF" w14:textId="77777777" w:rsidTr="00D90F1F">
        <w:trPr>
          <w:trHeight w:val="586"/>
        </w:trPr>
        <w:tc>
          <w:tcPr>
            <w:tcW w:w="3294" w:type="dxa"/>
            <w:vAlign w:val="center"/>
          </w:tcPr>
          <w:p w14:paraId="0B5171DC"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143" w:type="dxa"/>
            <w:vAlign w:val="center"/>
          </w:tcPr>
          <w:p w14:paraId="4E89BDF1"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44" w:type="dxa"/>
            <w:vAlign w:val="center"/>
          </w:tcPr>
          <w:p w14:paraId="1548A929"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FD522B" w:rsidRPr="005C5524" w14:paraId="194509AA" w14:textId="77777777" w:rsidTr="00D90F1F">
        <w:trPr>
          <w:trHeight w:val="292"/>
        </w:trPr>
        <w:tc>
          <w:tcPr>
            <w:tcW w:w="3294" w:type="dxa"/>
          </w:tcPr>
          <w:p w14:paraId="2F0EB499" w14:textId="77777777" w:rsidR="00FD522B" w:rsidRPr="00F40124" w:rsidRDefault="00FD522B" w:rsidP="002C0B40">
            <w:pPr>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New</w:t>
            </w:r>
          </w:p>
          <w:p w14:paraId="62332546" w14:textId="77777777" w:rsidR="00FD522B" w:rsidRPr="00F40124" w:rsidRDefault="00FD522B" w:rsidP="002C0B40">
            <w:pPr>
              <w:rPr>
                <w:rFonts w:ascii="Segoe UI" w:eastAsia="Times New Roman" w:hAnsi="Segoe UI" w:cs="Segoe UI"/>
                <w:bCs/>
                <w:sz w:val="20"/>
                <w:szCs w:val="20"/>
              </w:rPr>
            </w:pPr>
          </w:p>
        </w:tc>
        <w:tc>
          <w:tcPr>
            <w:tcW w:w="5143" w:type="dxa"/>
          </w:tcPr>
          <w:p w14:paraId="5F29EA82" w14:textId="1629093E" w:rsidR="00FD522B" w:rsidRPr="00D90F1F" w:rsidRDefault="00577FEB" w:rsidP="002C0B40">
            <w:pPr>
              <w:rPr>
                <w:rFonts w:ascii="Times New Roman" w:eastAsia="Times New Roman" w:hAnsi="Times New Roman" w:cs="Times New Roman"/>
              </w:rPr>
            </w:pPr>
            <w:r>
              <w:rPr>
                <w:rFonts w:ascii="Times New Roman" w:eastAsia="Times New Roman" w:hAnsi="Times New Roman" w:cs="Times New Roman"/>
              </w:rPr>
              <w:t xml:space="preserve">During COVID-19, need for </w:t>
            </w:r>
            <w:r w:rsidR="00996AFD">
              <w:rPr>
                <w:rFonts w:ascii="Times New Roman" w:eastAsia="Times New Roman" w:hAnsi="Times New Roman" w:cs="Times New Roman"/>
              </w:rPr>
              <w:t xml:space="preserve">2 </w:t>
            </w:r>
            <w:r>
              <w:rPr>
                <w:rFonts w:ascii="Times New Roman" w:eastAsia="Times New Roman" w:hAnsi="Times New Roman" w:cs="Times New Roman"/>
              </w:rPr>
              <w:t xml:space="preserve">new </w:t>
            </w:r>
            <w:r w:rsidR="00EA333E">
              <w:rPr>
                <w:rFonts w:ascii="Times New Roman" w:eastAsia="Times New Roman" w:hAnsi="Times New Roman" w:cs="Times New Roman"/>
              </w:rPr>
              <w:t xml:space="preserve">work </w:t>
            </w:r>
            <w:r>
              <w:rPr>
                <w:rFonts w:ascii="Times New Roman" w:eastAsia="Times New Roman" w:hAnsi="Times New Roman" w:cs="Times New Roman"/>
              </w:rPr>
              <w:t>computers with video capabilities</w:t>
            </w:r>
            <w:r w:rsidR="00EA333E">
              <w:rPr>
                <w:rFonts w:ascii="Times New Roman" w:eastAsia="Times New Roman" w:hAnsi="Times New Roman" w:cs="Times New Roman"/>
              </w:rPr>
              <w:t xml:space="preserve"> (for MFT Trainees)</w:t>
            </w:r>
            <w:r>
              <w:rPr>
                <w:rFonts w:ascii="Times New Roman" w:eastAsia="Times New Roman" w:hAnsi="Times New Roman" w:cs="Times New Roman"/>
              </w:rPr>
              <w:t xml:space="preserve">. </w:t>
            </w:r>
          </w:p>
          <w:p w14:paraId="661675A2" w14:textId="77777777" w:rsidR="00FD522B" w:rsidRPr="00D90F1F" w:rsidRDefault="00FD522B" w:rsidP="002C0B40">
            <w:pPr>
              <w:rPr>
                <w:rFonts w:ascii="Times New Roman" w:eastAsia="Times New Roman" w:hAnsi="Times New Roman" w:cs="Times New Roman"/>
              </w:rPr>
            </w:pPr>
          </w:p>
          <w:p w14:paraId="06ABC416" w14:textId="77777777" w:rsidR="00FD522B" w:rsidRPr="00D90F1F" w:rsidRDefault="00FD522B" w:rsidP="002C0B40">
            <w:pPr>
              <w:rPr>
                <w:rFonts w:ascii="Times New Roman" w:eastAsia="Times New Roman" w:hAnsi="Times New Roman" w:cs="Times New Roman"/>
              </w:rPr>
            </w:pPr>
          </w:p>
        </w:tc>
        <w:tc>
          <w:tcPr>
            <w:tcW w:w="1244" w:type="dxa"/>
          </w:tcPr>
          <w:p w14:paraId="33B2319D" w14:textId="77777777" w:rsidR="00FD522B" w:rsidRDefault="00FD522B" w:rsidP="002C0B40">
            <w:pPr>
              <w:rPr>
                <w:rFonts w:ascii="Times New Roman" w:eastAsia="Times New Roman" w:hAnsi="Times New Roman" w:cs="Times New Roman"/>
                <w:color w:val="FFFF00"/>
              </w:rPr>
            </w:pPr>
          </w:p>
          <w:p w14:paraId="11C07BCB" w14:textId="77777777" w:rsidR="00996AFD" w:rsidRDefault="00996AFD" w:rsidP="002C0B40">
            <w:pPr>
              <w:rPr>
                <w:rFonts w:ascii="Times New Roman" w:eastAsia="Times New Roman" w:hAnsi="Times New Roman" w:cs="Times New Roman"/>
                <w:color w:val="FFFF00"/>
              </w:rPr>
            </w:pPr>
          </w:p>
          <w:p w14:paraId="068E399E" w14:textId="4B7145E5" w:rsidR="00996AFD" w:rsidRPr="00996AFD" w:rsidRDefault="00996AFD" w:rsidP="002C0B40">
            <w:pPr>
              <w:rPr>
                <w:rFonts w:ascii="Times New Roman" w:eastAsia="Times New Roman" w:hAnsi="Times New Roman" w:cs="Times New Roman"/>
              </w:rPr>
            </w:pPr>
            <w:r>
              <w:rPr>
                <w:rFonts w:ascii="Times New Roman" w:eastAsia="Times New Roman" w:hAnsi="Times New Roman" w:cs="Times New Roman"/>
              </w:rPr>
              <w:t>$4000</w:t>
            </w:r>
          </w:p>
        </w:tc>
      </w:tr>
      <w:tr w:rsidR="00FD522B" w:rsidRPr="005C5524" w14:paraId="56657170" w14:textId="77777777" w:rsidTr="00D90F1F">
        <w:trPr>
          <w:trHeight w:val="292"/>
        </w:trPr>
        <w:tc>
          <w:tcPr>
            <w:tcW w:w="3294" w:type="dxa"/>
          </w:tcPr>
          <w:p w14:paraId="08907921" w14:textId="77777777" w:rsidR="00FD522B" w:rsidRPr="00F40124" w:rsidRDefault="00FD522B"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Replacement</w:t>
            </w:r>
          </w:p>
          <w:p w14:paraId="2983AD93" w14:textId="77777777" w:rsidR="00FD522B" w:rsidRPr="00F40124" w:rsidRDefault="00FD522B" w:rsidP="002C0B40">
            <w:pPr>
              <w:rPr>
                <w:rFonts w:ascii="Segoe UI" w:eastAsia="Times New Roman" w:hAnsi="Segoe UI" w:cs="Segoe UI"/>
                <w:bCs/>
                <w:sz w:val="20"/>
                <w:szCs w:val="20"/>
              </w:rPr>
            </w:pPr>
          </w:p>
        </w:tc>
        <w:tc>
          <w:tcPr>
            <w:tcW w:w="5143" w:type="dxa"/>
          </w:tcPr>
          <w:p w14:paraId="3BA697ED" w14:textId="77777777" w:rsidR="00FD522B" w:rsidRPr="00D90F1F" w:rsidRDefault="00FD522B" w:rsidP="002C0B40">
            <w:pPr>
              <w:rPr>
                <w:rFonts w:ascii="Times New Roman" w:eastAsia="Times New Roman" w:hAnsi="Times New Roman" w:cs="Times New Roman"/>
              </w:rPr>
            </w:pPr>
          </w:p>
          <w:p w14:paraId="011F296E" w14:textId="77777777" w:rsidR="00FD522B" w:rsidRPr="00D90F1F" w:rsidRDefault="00FD522B" w:rsidP="002C0B40">
            <w:pPr>
              <w:rPr>
                <w:rFonts w:ascii="Times New Roman" w:eastAsia="Times New Roman" w:hAnsi="Times New Roman" w:cs="Times New Roman"/>
              </w:rPr>
            </w:pPr>
          </w:p>
          <w:p w14:paraId="23851BA2" w14:textId="77777777" w:rsidR="00FD522B" w:rsidRPr="00D90F1F" w:rsidRDefault="00FD522B" w:rsidP="002C0B40">
            <w:pPr>
              <w:rPr>
                <w:rFonts w:ascii="Times New Roman" w:eastAsia="Times New Roman" w:hAnsi="Times New Roman" w:cs="Times New Roman"/>
              </w:rPr>
            </w:pPr>
          </w:p>
          <w:p w14:paraId="4481D1F2" w14:textId="77777777" w:rsidR="00FD522B" w:rsidRPr="00D90F1F" w:rsidRDefault="00FD522B" w:rsidP="002C0B40">
            <w:pPr>
              <w:rPr>
                <w:rFonts w:ascii="Times New Roman" w:eastAsia="Times New Roman" w:hAnsi="Times New Roman" w:cs="Times New Roman"/>
              </w:rPr>
            </w:pPr>
          </w:p>
        </w:tc>
        <w:tc>
          <w:tcPr>
            <w:tcW w:w="1244" w:type="dxa"/>
          </w:tcPr>
          <w:p w14:paraId="436009D1" w14:textId="77777777" w:rsidR="00FD522B" w:rsidRPr="00D90F1F" w:rsidRDefault="00FD522B" w:rsidP="002C0B40">
            <w:pPr>
              <w:rPr>
                <w:rFonts w:ascii="Times New Roman" w:eastAsia="Times New Roman" w:hAnsi="Times New Roman" w:cs="Times New Roman"/>
              </w:rPr>
            </w:pPr>
          </w:p>
        </w:tc>
      </w:tr>
    </w:tbl>
    <w:p w14:paraId="20E90CC7" w14:textId="77777777" w:rsidR="00FD522B" w:rsidRPr="005A4E46" w:rsidRDefault="00FD522B" w:rsidP="00AB7D49">
      <w:pPr>
        <w:rPr>
          <w:rFonts w:ascii="Segoe UI" w:hAnsi="Segoe UI" w:cs="Segoe UI"/>
        </w:rPr>
      </w:pPr>
    </w:p>
    <w:tbl>
      <w:tblPr>
        <w:tblStyle w:val="TableGrid1"/>
        <w:tblW w:w="9810" w:type="dxa"/>
        <w:tblInd w:w="-185" w:type="dxa"/>
        <w:tblLook w:val="04A0" w:firstRow="1" w:lastRow="0" w:firstColumn="1" w:lastColumn="0" w:noHBand="0" w:noVBand="1"/>
      </w:tblPr>
      <w:tblGrid>
        <w:gridCol w:w="3577"/>
        <w:gridCol w:w="4973"/>
        <w:gridCol w:w="1260"/>
      </w:tblGrid>
      <w:tr w:rsidR="00517630" w:rsidRPr="005C5524" w14:paraId="0776B849" w14:textId="77777777" w:rsidTr="00D90F1F">
        <w:trPr>
          <w:trHeight w:val="583"/>
        </w:trPr>
        <w:tc>
          <w:tcPr>
            <w:tcW w:w="3577" w:type="dxa"/>
            <w:vAlign w:val="center"/>
          </w:tcPr>
          <w:p w14:paraId="279BFDCB"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4973" w:type="dxa"/>
            <w:vAlign w:val="center"/>
          </w:tcPr>
          <w:p w14:paraId="266423D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6AC0F4A8"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D90F1F" w14:paraId="37DCEBEF" w14:textId="77777777" w:rsidTr="00D90F1F">
        <w:trPr>
          <w:trHeight w:val="291"/>
        </w:trPr>
        <w:tc>
          <w:tcPr>
            <w:tcW w:w="3577" w:type="dxa"/>
          </w:tcPr>
          <w:p w14:paraId="70888788"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Classrooms</w:t>
            </w:r>
          </w:p>
          <w:p w14:paraId="40C46365" w14:textId="77777777" w:rsidR="00517630" w:rsidRPr="00F40124" w:rsidRDefault="00517630" w:rsidP="002C0B40">
            <w:pPr>
              <w:rPr>
                <w:rFonts w:ascii="Segoe UI" w:eastAsia="Times New Roman" w:hAnsi="Segoe UI" w:cs="Segoe UI"/>
                <w:bCs/>
                <w:sz w:val="20"/>
                <w:szCs w:val="20"/>
              </w:rPr>
            </w:pPr>
          </w:p>
          <w:p w14:paraId="4925DE40" w14:textId="77777777" w:rsidR="00FD522B" w:rsidRPr="00F40124" w:rsidRDefault="00FD522B" w:rsidP="002C0B40">
            <w:pPr>
              <w:rPr>
                <w:rFonts w:ascii="Segoe UI" w:eastAsia="Times New Roman" w:hAnsi="Segoe UI" w:cs="Segoe UI"/>
                <w:bCs/>
                <w:sz w:val="20"/>
                <w:szCs w:val="20"/>
              </w:rPr>
            </w:pPr>
          </w:p>
          <w:p w14:paraId="4CCC1ECE" w14:textId="77777777" w:rsidR="00FD522B" w:rsidRPr="00F40124" w:rsidRDefault="00FD522B" w:rsidP="002C0B40">
            <w:pPr>
              <w:rPr>
                <w:rFonts w:ascii="Segoe UI" w:eastAsia="Times New Roman" w:hAnsi="Segoe UI" w:cs="Segoe UI"/>
                <w:bCs/>
                <w:sz w:val="20"/>
                <w:szCs w:val="20"/>
              </w:rPr>
            </w:pPr>
          </w:p>
        </w:tc>
        <w:tc>
          <w:tcPr>
            <w:tcW w:w="4973" w:type="dxa"/>
          </w:tcPr>
          <w:p w14:paraId="4DC6B1B5" w14:textId="77777777" w:rsidR="00517630" w:rsidRPr="00D90F1F" w:rsidRDefault="00517630" w:rsidP="002C0B40">
            <w:pPr>
              <w:rPr>
                <w:rFonts w:ascii="Times New Roman" w:eastAsia="Times New Roman" w:hAnsi="Times New Roman" w:cs="Times New Roman"/>
              </w:rPr>
            </w:pPr>
          </w:p>
        </w:tc>
        <w:tc>
          <w:tcPr>
            <w:tcW w:w="1260" w:type="dxa"/>
          </w:tcPr>
          <w:p w14:paraId="5A9C43AB" w14:textId="77777777" w:rsidR="00517630" w:rsidRPr="00D90F1F" w:rsidRDefault="00517630" w:rsidP="002C0B40">
            <w:pPr>
              <w:rPr>
                <w:rFonts w:ascii="Times New Roman" w:eastAsia="Times New Roman" w:hAnsi="Times New Roman" w:cs="Times New Roman"/>
              </w:rPr>
            </w:pPr>
          </w:p>
        </w:tc>
      </w:tr>
      <w:tr w:rsidR="00517630" w:rsidRPr="00D90F1F" w14:paraId="6AA9B12C" w14:textId="77777777" w:rsidTr="00D90F1F">
        <w:trPr>
          <w:trHeight w:val="291"/>
        </w:trPr>
        <w:tc>
          <w:tcPr>
            <w:tcW w:w="3577" w:type="dxa"/>
          </w:tcPr>
          <w:p w14:paraId="3154107C"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Offices</w:t>
            </w:r>
          </w:p>
          <w:p w14:paraId="010924AA" w14:textId="77777777" w:rsidR="00FD522B" w:rsidRPr="00F40124" w:rsidRDefault="00FD522B" w:rsidP="002C0B40">
            <w:pPr>
              <w:rPr>
                <w:rFonts w:ascii="Segoe UI" w:eastAsia="Times New Roman" w:hAnsi="Segoe UI" w:cs="Segoe UI"/>
                <w:bCs/>
                <w:sz w:val="20"/>
                <w:szCs w:val="20"/>
              </w:rPr>
            </w:pPr>
          </w:p>
          <w:p w14:paraId="56D04966" w14:textId="77777777" w:rsidR="00FD522B" w:rsidRPr="00F40124" w:rsidRDefault="00FD522B" w:rsidP="002C0B40">
            <w:pPr>
              <w:rPr>
                <w:rFonts w:ascii="Segoe UI" w:eastAsia="Times New Roman" w:hAnsi="Segoe UI" w:cs="Segoe UI"/>
                <w:bCs/>
                <w:sz w:val="20"/>
                <w:szCs w:val="20"/>
              </w:rPr>
            </w:pPr>
          </w:p>
          <w:p w14:paraId="0F9CBE60" w14:textId="77777777" w:rsidR="00517630" w:rsidRPr="00F40124" w:rsidRDefault="00517630" w:rsidP="002C0B40">
            <w:pPr>
              <w:rPr>
                <w:rFonts w:ascii="Segoe UI" w:eastAsia="Times New Roman" w:hAnsi="Segoe UI" w:cs="Segoe UI"/>
                <w:bCs/>
                <w:sz w:val="20"/>
                <w:szCs w:val="20"/>
              </w:rPr>
            </w:pPr>
          </w:p>
        </w:tc>
        <w:tc>
          <w:tcPr>
            <w:tcW w:w="4973" w:type="dxa"/>
          </w:tcPr>
          <w:p w14:paraId="0B403288" w14:textId="77777777" w:rsidR="00517630" w:rsidRPr="00D90F1F" w:rsidRDefault="00517630" w:rsidP="002C0B40">
            <w:pPr>
              <w:rPr>
                <w:rFonts w:ascii="Times New Roman" w:eastAsia="Times New Roman" w:hAnsi="Times New Roman" w:cs="Times New Roman"/>
              </w:rPr>
            </w:pPr>
          </w:p>
        </w:tc>
        <w:tc>
          <w:tcPr>
            <w:tcW w:w="1260" w:type="dxa"/>
          </w:tcPr>
          <w:p w14:paraId="38DF5416" w14:textId="77777777" w:rsidR="00517630" w:rsidRPr="00D90F1F" w:rsidRDefault="00517630" w:rsidP="002C0B40">
            <w:pPr>
              <w:rPr>
                <w:rFonts w:ascii="Times New Roman" w:eastAsia="Times New Roman" w:hAnsi="Times New Roman" w:cs="Times New Roman"/>
              </w:rPr>
            </w:pPr>
          </w:p>
        </w:tc>
      </w:tr>
      <w:tr w:rsidR="00517630" w:rsidRPr="00D90F1F" w14:paraId="3F5CA9D3" w14:textId="77777777" w:rsidTr="00D90F1F">
        <w:trPr>
          <w:trHeight w:val="291"/>
        </w:trPr>
        <w:tc>
          <w:tcPr>
            <w:tcW w:w="3577" w:type="dxa"/>
          </w:tcPr>
          <w:p w14:paraId="0AFED561"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Labs</w:t>
            </w:r>
          </w:p>
          <w:p w14:paraId="6D4CAF65" w14:textId="77777777" w:rsidR="00517630" w:rsidRPr="00F40124" w:rsidRDefault="00517630" w:rsidP="002C0B40">
            <w:pPr>
              <w:rPr>
                <w:rFonts w:ascii="Segoe UI" w:eastAsia="Times New Roman" w:hAnsi="Segoe UI" w:cs="Segoe UI"/>
                <w:bCs/>
                <w:sz w:val="20"/>
                <w:szCs w:val="20"/>
              </w:rPr>
            </w:pPr>
          </w:p>
          <w:p w14:paraId="31F1A8A2" w14:textId="77777777" w:rsidR="00FD522B" w:rsidRPr="00F40124" w:rsidRDefault="00FD522B" w:rsidP="002C0B40">
            <w:pPr>
              <w:rPr>
                <w:rFonts w:ascii="Segoe UI" w:eastAsia="Times New Roman" w:hAnsi="Segoe UI" w:cs="Segoe UI"/>
                <w:bCs/>
                <w:sz w:val="20"/>
                <w:szCs w:val="20"/>
              </w:rPr>
            </w:pPr>
          </w:p>
          <w:p w14:paraId="1EDF1AE8" w14:textId="77777777" w:rsidR="00FD522B" w:rsidRPr="00F40124" w:rsidRDefault="00FD522B" w:rsidP="002C0B40">
            <w:pPr>
              <w:rPr>
                <w:rFonts w:ascii="Segoe UI" w:eastAsia="Times New Roman" w:hAnsi="Segoe UI" w:cs="Segoe UI"/>
                <w:bCs/>
                <w:sz w:val="20"/>
                <w:szCs w:val="20"/>
              </w:rPr>
            </w:pPr>
          </w:p>
        </w:tc>
        <w:tc>
          <w:tcPr>
            <w:tcW w:w="4973" w:type="dxa"/>
          </w:tcPr>
          <w:p w14:paraId="42F388F5" w14:textId="77777777" w:rsidR="00517630" w:rsidRPr="00D90F1F" w:rsidRDefault="00517630" w:rsidP="002C0B40">
            <w:pPr>
              <w:rPr>
                <w:rFonts w:ascii="Times New Roman" w:eastAsia="Times New Roman" w:hAnsi="Times New Roman" w:cs="Times New Roman"/>
              </w:rPr>
            </w:pPr>
          </w:p>
          <w:p w14:paraId="2C12694E" w14:textId="77777777" w:rsidR="00D90F1F" w:rsidRPr="00D90F1F" w:rsidRDefault="00D90F1F" w:rsidP="002C0B40">
            <w:pPr>
              <w:rPr>
                <w:rFonts w:ascii="Times New Roman" w:eastAsia="Times New Roman" w:hAnsi="Times New Roman" w:cs="Times New Roman"/>
              </w:rPr>
            </w:pPr>
          </w:p>
          <w:p w14:paraId="7017F7C4" w14:textId="13D9F82C" w:rsidR="00D90F1F" w:rsidRPr="00D90F1F" w:rsidRDefault="00D90F1F" w:rsidP="002C0B40">
            <w:pPr>
              <w:rPr>
                <w:rFonts w:ascii="Times New Roman" w:eastAsia="Times New Roman" w:hAnsi="Times New Roman" w:cs="Times New Roman"/>
              </w:rPr>
            </w:pPr>
          </w:p>
        </w:tc>
        <w:tc>
          <w:tcPr>
            <w:tcW w:w="1260" w:type="dxa"/>
          </w:tcPr>
          <w:p w14:paraId="628910F6" w14:textId="77777777" w:rsidR="00517630" w:rsidRPr="00D90F1F" w:rsidRDefault="00517630" w:rsidP="002C0B40">
            <w:pPr>
              <w:rPr>
                <w:rFonts w:ascii="Times New Roman" w:eastAsia="Times New Roman" w:hAnsi="Times New Roman" w:cs="Times New Roman"/>
              </w:rPr>
            </w:pPr>
          </w:p>
        </w:tc>
      </w:tr>
      <w:tr w:rsidR="00517630" w:rsidRPr="00D90F1F" w14:paraId="280AB24E" w14:textId="77777777" w:rsidTr="00D90F1F">
        <w:trPr>
          <w:trHeight w:val="291"/>
        </w:trPr>
        <w:tc>
          <w:tcPr>
            <w:tcW w:w="3577" w:type="dxa"/>
          </w:tcPr>
          <w:p w14:paraId="60EBD22D"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Other</w:t>
            </w:r>
          </w:p>
          <w:p w14:paraId="51EAEFF9" w14:textId="77777777" w:rsidR="00FD522B" w:rsidRPr="00F40124" w:rsidRDefault="00FD522B" w:rsidP="002C0B40">
            <w:pPr>
              <w:rPr>
                <w:rFonts w:ascii="Segoe UI" w:eastAsia="Times New Roman" w:hAnsi="Segoe UI" w:cs="Segoe UI"/>
                <w:bCs/>
                <w:sz w:val="20"/>
                <w:szCs w:val="20"/>
              </w:rPr>
            </w:pPr>
          </w:p>
          <w:p w14:paraId="3D050550" w14:textId="77777777" w:rsidR="00FD522B" w:rsidRPr="00F40124" w:rsidRDefault="00FD522B" w:rsidP="002C0B40">
            <w:pPr>
              <w:rPr>
                <w:rFonts w:ascii="Segoe UI" w:eastAsia="Times New Roman" w:hAnsi="Segoe UI" w:cs="Segoe UI"/>
                <w:bCs/>
                <w:sz w:val="20"/>
                <w:szCs w:val="20"/>
              </w:rPr>
            </w:pPr>
          </w:p>
          <w:p w14:paraId="04A9B073" w14:textId="77777777" w:rsidR="00517630" w:rsidRPr="00F40124" w:rsidRDefault="00517630" w:rsidP="002C0B40">
            <w:pPr>
              <w:rPr>
                <w:rFonts w:ascii="Segoe UI" w:eastAsia="Times New Roman" w:hAnsi="Segoe UI" w:cs="Segoe UI"/>
                <w:bCs/>
                <w:sz w:val="20"/>
                <w:szCs w:val="20"/>
              </w:rPr>
            </w:pPr>
          </w:p>
        </w:tc>
        <w:tc>
          <w:tcPr>
            <w:tcW w:w="4973" w:type="dxa"/>
          </w:tcPr>
          <w:p w14:paraId="7CE2CBD8" w14:textId="77777777" w:rsidR="00517630" w:rsidRPr="00D90F1F" w:rsidRDefault="00517630" w:rsidP="002C0B40">
            <w:pPr>
              <w:rPr>
                <w:rFonts w:ascii="Times New Roman" w:eastAsia="Times New Roman" w:hAnsi="Times New Roman" w:cs="Times New Roman"/>
              </w:rPr>
            </w:pPr>
          </w:p>
        </w:tc>
        <w:tc>
          <w:tcPr>
            <w:tcW w:w="1260" w:type="dxa"/>
          </w:tcPr>
          <w:p w14:paraId="23B313C8" w14:textId="77777777" w:rsidR="00517630" w:rsidRPr="00D90F1F" w:rsidRDefault="00517630" w:rsidP="002C0B40">
            <w:pPr>
              <w:rPr>
                <w:rFonts w:ascii="Times New Roman" w:eastAsia="Times New Roman" w:hAnsi="Times New Roman" w:cs="Times New Roman"/>
              </w:rPr>
            </w:pPr>
          </w:p>
        </w:tc>
      </w:tr>
    </w:tbl>
    <w:p w14:paraId="3D671B39" w14:textId="77777777" w:rsidR="00517630" w:rsidRPr="005A4E46" w:rsidRDefault="00517630" w:rsidP="00AB7D49">
      <w:pPr>
        <w:rPr>
          <w:rFonts w:ascii="Segoe UI" w:hAnsi="Segoe UI" w:cs="Segoe UI"/>
        </w:rPr>
      </w:pPr>
    </w:p>
    <w:p w14:paraId="378C3F16"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5C5524" w14:paraId="36C946F9" w14:textId="77777777" w:rsidTr="00B145A3">
        <w:trPr>
          <w:trHeight w:val="583"/>
        </w:trPr>
        <w:tc>
          <w:tcPr>
            <w:tcW w:w="3690" w:type="dxa"/>
            <w:vAlign w:val="center"/>
          </w:tcPr>
          <w:p w14:paraId="1A5CFF9E"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7CC714F4"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7C7BDC8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392E6F72" w14:textId="77777777" w:rsidTr="002C0B40">
        <w:trPr>
          <w:trHeight w:val="291"/>
        </w:trPr>
        <w:tc>
          <w:tcPr>
            <w:tcW w:w="3690" w:type="dxa"/>
          </w:tcPr>
          <w:p w14:paraId="62B47D05"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Library: Library materials</w:t>
            </w:r>
          </w:p>
          <w:p w14:paraId="412D1C5B" w14:textId="77777777" w:rsidR="00517630" w:rsidRPr="00F40124" w:rsidRDefault="00517630" w:rsidP="002C0B40">
            <w:pPr>
              <w:rPr>
                <w:rFonts w:ascii="Segoe UI" w:eastAsia="Times New Roman" w:hAnsi="Segoe UI" w:cs="Segoe UI"/>
                <w:bCs/>
                <w:sz w:val="20"/>
                <w:szCs w:val="20"/>
              </w:rPr>
            </w:pPr>
          </w:p>
          <w:p w14:paraId="7AA5AC57" w14:textId="77777777" w:rsidR="00FD522B" w:rsidRPr="00F40124" w:rsidRDefault="00FD522B" w:rsidP="002C0B40">
            <w:pPr>
              <w:rPr>
                <w:rFonts w:ascii="Segoe UI" w:eastAsia="Times New Roman" w:hAnsi="Segoe UI" w:cs="Segoe UI"/>
                <w:bCs/>
                <w:sz w:val="20"/>
                <w:szCs w:val="20"/>
              </w:rPr>
            </w:pPr>
          </w:p>
          <w:p w14:paraId="40D18B47" w14:textId="77777777" w:rsidR="00FD522B" w:rsidRPr="00F40124" w:rsidRDefault="00FD522B" w:rsidP="002C0B40">
            <w:pPr>
              <w:rPr>
                <w:rFonts w:ascii="Segoe UI" w:eastAsia="Times New Roman" w:hAnsi="Segoe UI" w:cs="Segoe UI"/>
                <w:bCs/>
                <w:sz w:val="20"/>
                <w:szCs w:val="20"/>
              </w:rPr>
            </w:pPr>
          </w:p>
        </w:tc>
        <w:tc>
          <w:tcPr>
            <w:tcW w:w="5207" w:type="dxa"/>
          </w:tcPr>
          <w:p w14:paraId="41D8FE6E" w14:textId="77777777" w:rsidR="00517630" w:rsidRPr="00D90F1F" w:rsidRDefault="00517630" w:rsidP="002C0B40">
            <w:pPr>
              <w:rPr>
                <w:rFonts w:ascii="Times New Roman" w:eastAsia="Times New Roman" w:hAnsi="Times New Roman" w:cs="Times New Roman"/>
              </w:rPr>
            </w:pPr>
          </w:p>
        </w:tc>
        <w:tc>
          <w:tcPr>
            <w:tcW w:w="1260" w:type="dxa"/>
          </w:tcPr>
          <w:p w14:paraId="3CA5A16C" w14:textId="77777777" w:rsidR="00517630" w:rsidRPr="00D90F1F" w:rsidRDefault="00517630" w:rsidP="002C0B40">
            <w:pPr>
              <w:rPr>
                <w:rFonts w:ascii="Times New Roman" w:eastAsia="Times New Roman" w:hAnsi="Times New Roman" w:cs="Times New Roman"/>
              </w:rPr>
            </w:pPr>
          </w:p>
        </w:tc>
      </w:tr>
      <w:tr w:rsidR="00517630" w:rsidRPr="005C5524" w14:paraId="6E230B30" w14:textId="77777777" w:rsidTr="002C0B40">
        <w:trPr>
          <w:trHeight w:val="291"/>
        </w:trPr>
        <w:tc>
          <w:tcPr>
            <w:tcW w:w="3690" w:type="dxa"/>
          </w:tcPr>
          <w:p w14:paraId="45763FA1"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Library: Library collections</w:t>
            </w:r>
          </w:p>
          <w:p w14:paraId="6473EDCF" w14:textId="77777777" w:rsidR="00FD522B" w:rsidRPr="00F40124" w:rsidRDefault="00FD522B" w:rsidP="00517630">
            <w:pPr>
              <w:rPr>
                <w:rFonts w:ascii="Segoe UI" w:eastAsia="Times New Roman" w:hAnsi="Segoe UI" w:cs="Segoe UI"/>
                <w:bCs/>
                <w:sz w:val="20"/>
                <w:szCs w:val="20"/>
              </w:rPr>
            </w:pPr>
          </w:p>
          <w:p w14:paraId="4E7714BC" w14:textId="77777777" w:rsidR="00FD522B" w:rsidRPr="00F40124" w:rsidRDefault="00FD522B" w:rsidP="00517630">
            <w:pPr>
              <w:rPr>
                <w:rFonts w:ascii="Segoe UI" w:eastAsia="Times New Roman" w:hAnsi="Segoe UI" w:cs="Segoe UI"/>
                <w:bCs/>
                <w:sz w:val="20"/>
                <w:szCs w:val="20"/>
              </w:rPr>
            </w:pPr>
          </w:p>
          <w:p w14:paraId="496357C6" w14:textId="77777777" w:rsidR="00517630" w:rsidRPr="00F40124" w:rsidRDefault="00517630" w:rsidP="002C0B40">
            <w:pPr>
              <w:rPr>
                <w:rFonts w:ascii="Segoe UI" w:eastAsia="Times New Roman" w:hAnsi="Segoe UI" w:cs="Segoe UI"/>
                <w:bCs/>
                <w:sz w:val="20"/>
                <w:szCs w:val="20"/>
              </w:rPr>
            </w:pPr>
          </w:p>
        </w:tc>
        <w:tc>
          <w:tcPr>
            <w:tcW w:w="5207" w:type="dxa"/>
          </w:tcPr>
          <w:p w14:paraId="032B1ADA" w14:textId="77777777" w:rsidR="00517630" w:rsidRPr="00D90F1F" w:rsidRDefault="00517630" w:rsidP="002C0B40">
            <w:pPr>
              <w:rPr>
                <w:rFonts w:ascii="Times New Roman" w:eastAsia="Times New Roman" w:hAnsi="Times New Roman" w:cs="Times New Roman"/>
              </w:rPr>
            </w:pPr>
          </w:p>
        </w:tc>
        <w:tc>
          <w:tcPr>
            <w:tcW w:w="1260" w:type="dxa"/>
          </w:tcPr>
          <w:p w14:paraId="27B1E175" w14:textId="77777777" w:rsidR="00517630" w:rsidRPr="00D90F1F" w:rsidRDefault="00517630" w:rsidP="002C0B40">
            <w:pPr>
              <w:rPr>
                <w:rFonts w:ascii="Times New Roman" w:eastAsia="Times New Roman" w:hAnsi="Times New Roman" w:cs="Times New Roman"/>
              </w:rPr>
            </w:pPr>
          </w:p>
        </w:tc>
      </w:tr>
    </w:tbl>
    <w:p w14:paraId="51711E6E"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5C5524" w14:paraId="242851AA" w14:textId="77777777" w:rsidTr="002C0B40">
        <w:trPr>
          <w:trHeight w:val="583"/>
        </w:trPr>
        <w:tc>
          <w:tcPr>
            <w:tcW w:w="3690" w:type="dxa"/>
            <w:vAlign w:val="center"/>
          </w:tcPr>
          <w:p w14:paraId="7BA954AC"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2A224E36"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011F2DAF"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B145A3" w:rsidRPr="005C5524" w14:paraId="32DA5502" w14:textId="77777777" w:rsidTr="002C0B40">
        <w:trPr>
          <w:trHeight w:val="291"/>
        </w:trPr>
        <w:tc>
          <w:tcPr>
            <w:tcW w:w="3690" w:type="dxa"/>
          </w:tcPr>
          <w:p w14:paraId="39D1BE5A" w14:textId="5B488439" w:rsidR="00B145A3" w:rsidRPr="00F40124" w:rsidRDefault="00B145A3" w:rsidP="002C0B40">
            <w:pPr>
              <w:rPr>
                <w:rFonts w:ascii="Segoe UI" w:eastAsia="Times New Roman" w:hAnsi="Segoe UI" w:cs="Segoe UI"/>
                <w:bCs/>
                <w:sz w:val="20"/>
                <w:szCs w:val="20"/>
              </w:rPr>
            </w:pPr>
            <w:r w:rsidRPr="00F40124">
              <w:rPr>
                <w:rFonts w:ascii="Segoe UI" w:eastAsia="Times New Roman" w:hAnsi="Segoe UI" w:cs="Segoe UI"/>
                <w:bCs/>
                <w:sz w:val="20"/>
                <w:szCs w:val="20"/>
              </w:rPr>
              <w:t>O</w:t>
            </w:r>
            <w:r w:rsidR="00F40124" w:rsidRPr="00F40124">
              <w:rPr>
                <w:rFonts w:ascii="Segoe UI" w:eastAsia="Times New Roman" w:hAnsi="Segoe UI" w:cs="Segoe UI"/>
                <w:bCs/>
                <w:sz w:val="20"/>
                <w:szCs w:val="20"/>
              </w:rPr>
              <w:t>ther</w:t>
            </w:r>
          </w:p>
          <w:p w14:paraId="3E804EA3" w14:textId="77777777" w:rsidR="00B145A3" w:rsidRPr="00F40124" w:rsidRDefault="00B145A3" w:rsidP="002C0B40">
            <w:pPr>
              <w:rPr>
                <w:rFonts w:ascii="Segoe UI" w:eastAsia="Times New Roman" w:hAnsi="Segoe UI" w:cs="Segoe UI"/>
                <w:bCs/>
                <w:sz w:val="20"/>
                <w:szCs w:val="20"/>
              </w:rPr>
            </w:pPr>
          </w:p>
          <w:p w14:paraId="5B558D64" w14:textId="77777777" w:rsidR="00B145A3" w:rsidRPr="005C5524" w:rsidRDefault="00B145A3" w:rsidP="002C0B40">
            <w:pPr>
              <w:rPr>
                <w:rFonts w:ascii="Segoe UI" w:eastAsia="Times New Roman" w:hAnsi="Segoe UI" w:cs="Segoe UI"/>
                <w:b/>
                <w:sz w:val="20"/>
                <w:szCs w:val="20"/>
              </w:rPr>
            </w:pPr>
          </w:p>
          <w:p w14:paraId="7C1E2EC9" w14:textId="77777777" w:rsidR="00B145A3" w:rsidRPr="005C5524" w:rsidRDefault="00B145A3" w:rsidP="002C0B40">
            <w:pPr>
              <w:rPr>
                <w:rFonts w:ascii="Segoe UI" w:eastAsia="Times New Roman" w:hAnsi="Segoe UI" w:cs="Segoe UI"/>
                <w:b/>
                <w:sz w:val="20"/>
                <w:szCs w:val="20"/>
              </w:rPr>
            </w:pPr>
          </w:p>
        </w:tc>
        <w:tc>
          <w:tcPr>
            <w:tcW w:w="5207" w:type="dxa"/>
          </w:tcPr>
          <w:p w14:paraId="2CF5BFB8" w14:textId="77777777" w:rsidR="00B145A3" w:rsidRPr="00D90F1F" w:rsidRDefault="00B145A3" w:rsidP="002C0B40">
            <w:pPr>
              <w:rPr>
                <w:rFonts w:ascii="Times New Roman" w:eastAsia="Times New Roman" w:hAnsi="Times New Roman" w:cs="Times New Roman"/>
              </w:rPr>
            </w:pPr>
          </w:p>
        </w:tc>
        <w:tc>
          <w:tcPr>
            <w:tcW w:w="1260" w:type="dxa"/>
          </w:tcPr>
          <w:p w14:paraId="6AC8C27E" w14:textId="77777777" w:rsidR="00B145A3" w:rsidRPr="00D90F1F" w:rsidRDefault="00B145A3" w:rsidP="002C0B40">
            <w:pPr>
              <w:rPr>
                <w:rFonts w:ascii="Times New Roman" w:eastAsia="Times New Roman" w:hAnsi="Times New Roman" w:cs="Times New Roman"/>
              </w:rPr>
            </w:pPr>
          </w:p>
        </w:tc>
      </w:tr>
    </w:tbl>
    <w:p w14:paraId="7CFC03AA" w14:textId="77777777" w:rsidR="00B145A3" w:rsidRPr="005A4E46" w:rsidRDefault="00B145A3" w:rsidP="00AB7D49">
      <w:pPr>
        <w:rPr>
          <w:rFonts w:ascii="Segoe UI" w:hAnsi="Segoe UI" w:cs="Segoe UI"/>
        </w:rPr>
      </w:pPr>
    </w:p>
    <w:sectPr w:rsidR="00B145A3" w:rsidRPr="005A4E4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5BD5A" w14:textId="77777777" w:rsidR="00B527AC" w:rsidRDefault="00B527AC" w:rsidP="000A0E4A">
      <w:pPr>
        <w:spacing w:after="0" w:line="240" w:lineRule="auto"/>
      </w:pPr>
      <w:r>
        <w:separator/>
      </w:r>
    </w:p>
  </w:endnote>
  <w:endnote w:type="continuationSeparator" w:id="0">
    <w:p w14:paraId="7046B607" w14:textId="77777777" w:rsidR="00B527AC" w:rsidRDefault="00B527AC"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295F" w14:textId="77777777" w:rsidR="00A75707" w:rsidRDefault="00A7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F61C" w14:textId="0A80CB59" w:rsidR="007B4F27" w:rsidRPr="00C96DC7" w:rsidRDefault="00AD4F79" w:rsidP="007B4F27">
    <w:pPr>
      <w:pStyle w:val="Footer"/>
      <w:jc w:val="right"/>
      <w:rPr>
        <w:i/>
        <w:sz w:val="20"/>
        <w:szCs w:val="20"/>
      </w:rPr>
    </w:pPr>
    <w:r>
      <w:rPr>
        <w:i/>
        <w:sz w:val="20"/>
        <w:szCs w:val="20"/>
      </w:rPr>
      <w:t>20</w:t>
    </w:r>
    <w:r w:rsidR="00B13202">
      <w:rPr>
        <w:i/>
        <w:sz w:val="20"/>
        <w:szCs w:val="20"/>
      </w:rPr>
      <w:t>20</w:t>
    </w:r>
    <w:r>
      <w:rPr>
        <w:i/>
        <w:sz w:val="20"/>
        <w:szCs w:val="20"/>
      </w:rPr>
      <w:t>-</w:t>
    </w:r>
    <w:r w:rsidR="00B13202">
      <w:rPr>
        <w:i/>
        <w:sz w:val="20"/>
        <w:szCs w:val="20"/>
      </w:rPr>
      <w:t>21</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E2691" w14:textId="77777777" w:rsidR="00A75707" w:rsidRDefault="00A75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22466" w14:textId="77777777" w:rsidR="00B527AC" w:rsidRDefault="00B527AC" w:rsidP="000A0E4A">
      <w:pPr>
        <w:spacing w:after="0" w:line="240" w:lineRule="auto"/>
      </w:pPr>
      <w:r>
        <w:separator/>
      </w:r>
    </w:p>
  </w:footnote>
  <w:footnote w:type="continuationSeparator" w:id="0">
    <w:p w14:paraId="2D8A266D" w14:textId="77777777" w:rsidR="00B527AC" w:rsidRDefault="00B527AC"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AFB83" w14:textId="77777777" w:rsidR="00A75707" w:rsidRDefault="00A75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1F35" w14:textId="77777777" w:rsidR="00A75707" w:rsidRDefault="00A75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1062A" w14:textId="77777777" w:rsidR="00A75707" w:rsidRDefault="00A75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58028A"/>
    <w:multiLevelType w:val="multilevel"/>
    <w:tmpl w:val="1D94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C649B"/>
    <w:multiLevelType w:val="multilevel"/>
    <w:tmpl w:val="B1EA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1"/>
  </w:num>
  <w:num w:numId="5">
    <w:abstractNumId w:val="7"/>
  </w:num>
  <w:num w:numId="6">
    <w:abstractNumId w:val="8"/>
  </w:num>
  <w:num w:numId="7">
    <w:abstractNumId w:val="0"/>
  </w:num>
  <w:num w:numId="8">
    <w:abstractNumId w:val="14"/>
  </w:num>
  <w:num w:numId="9">
    <w:abstractNumId w:val="9"/>
  </w:num>
  <w:num w:numId="10">
    <w:abstractNumId w:val="4"/>
  </w:num>
  <w:num w:numId="11">
    <w:abstractNumId w:val="3"/>
  </w:num>
  <w:num w:numId="12">
    <w:abstractNumId w:val="2"/>
  </w:num>
  <w:num w:numId="13">
    <w:abstractNumId w:val="15"/>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74812"/>
    <w:rsid w:val="000A0E4A"/>
    <w:rsid w:val="000B4161"/>
    <w:rsid w:val="000E7A92"/>
    <w:rsid w:val="00100E2A"/>
    <w:rsid w:val="0012395E"/>
    <w:rsid w:val="00133AAB"/>
    <w:rsid w:val="0013741D"/>
    <w:rsid w:val="001408D7"/>
    <w:rsid w:val="001524C7"/>
    <w:rsid w:val="00155788"/>
    <w:rsid w:val="001775E3"/>
    <w:rsid w:val="00191575"/>
    <w:rsid w:val="001B0B36"/>
    <w:rsid w:val="001C6A52"/>
    <w:rsid w:val="001C7435"/>
    <w:rsid w:val="001F56EE"/>
    <w:rsid w:val="00217246"/>
    <w:rsid w:val="00250933"/>
    <w:rsid w:val="0025722D"/>
    <w:rsid w:val="00264972"/>
    <w:rsid w:val="002723D7"/>
    <w:rsid w:val="00287F6C"/>
    <w:rsid w:val="00296E65"/>
    <w:rsid w:val="002C0B40"/>
    <w:rsid w:val="002C2261"/>
    <w:rsid w:val="002C3A82"/>
    <w:rsid w:val="003001B1"/>
    <w:rsid w:val="00310968"/>
    <w:rsid w:val="00311E8A"/>
    <w:rsid w:val="00312A82"/>
    <w:rsid w:val="00366642"/>
    <w:rsid w:val="003705DE"/>
    <w:rsid w:val="00370EAC"/>
    <w:rsid w:val="003928FD"/>
    <w:rsid w:val="003C5F3E"/>
    <w:rsid w:val="003C7A1D"/>
    <w:rsid w:val="003D0679"/>
    <w:rsid w:val="003D3BEB"/>
    <w:rsid w:val="00422ABD"/>
    <w:rsid w:val="00425484"/>
    <w:rsid w:val="00436AE9"/>
    <w:rsid w:val="004456AF"/>
    <w:rsid w:val="00450B8C"/>
    <w:rsid w:val="004547D3"/>
    <w:rsid w:val="0045653B"/>
    <w:rsid w:val="00475AB4"/>
    <w:rsid w:val="00480605"/>
    <w:rsid w:val="004A25AB"/>
    <w:rsid w:val="004C7A75"/>
    <w:rsid w:val="004F1F99"/>
    <w:rsid w:val="00507EDE"/>
    <w:rsid w:val="00510036"/>
    <w:rsid w:val="005125FF"/>
    <w:rsid w:val="00517630"/>
    <w:rsid w:val="00521806"/>
    <w:rsid w:val="00574998"/>
    <w:rsid w:val="00577FEB"/>
    <w:rsid w:val="00582800"/>
    <w:rsid w:val="00585977"/>
    <w:rsid w:val="00585D81"/>
    <w:rsid w:val="005A4E46"/>
    <w:rsid w:val="005C2270"/>
    <w:rsid w:val="005C5524"/>
    <w:rsid w:val="005D4C45"/>
    <w:rsid w:val="00637441"/>
    <w:rsid w:val="00692A9E"/>
    <w:rsid w:val="006B477E"/>
    <w:rsid w:val="006D4D78"/>
    <w:rsid w:val="006D52AC"/>
    <w:rsid w:val="007046C8"/>
    <w:rsid w:val="00707472"/>
    <w:rsid w:val="007158B5"/>
    <w:rsid w:val="00716F76"/>
    <w:rsid w:val="00724B07"/>
    <w:rsid w:val="00733CC4"/>
    <w:rsid w:val="00751AB6"/>
    <w:rsid w:val="00763381"/>
    <w:rsid w:val="0076576C"/>
    <w:rsid w:val="00792E7B"/>
    <w:rsid w:val="0079567C"/>
    <w:rsid w:val="007A46E8"/>
    <w:rsid w:val="007B0D49"/>
    <w:rsid w:val="007B4F27"/>
    <w:rsid w:val="007C3A4B"/>
    <w:rsid w:val="007D26DD"/>
    <w:rsid w:val="007E4EA2"/>
    <w:rsid w:val="007F0672"/>
    <w:rsid w:val="0080633A"/>
    <w:rsid w:val="0081324D"/>
    <w:rsid w:val="008139AF"/>
    <w:rsid w:val="0082677E"/>
    <w:rsid w:val="00836F7D"/>
    <w:rsid w:val="00843E75"/>
    <w:rsid w:val="00856162"/>
    <w:rsid w:val="00860EE3"/>
    <w:rsid w:val="00870AEE"/>
    <w:rsid w:val="00880E7E"/>
    <w:rsid w:val="008F5BB3"/>
    <w:rsid w:val="00903F44"/>
    <w:rsid w:val="00910AE7"/>
    <w:rsid w:val="00910D26"/>
    <w:rsid w:val="009433D4"/>
    <w:rsid w:val="009531E5"/>
    <w:rsid w:val="00996225"/>
    <w:rsid w:val="00996AFD"/>
    <w:rsid w:val="009B58C9"/>
    <w:rsid w:val="009B6926"/>
    <w:rsid w:val="009C47E3"/>
    <w:rsid w:val="009C6BFE"/>
    <w:rsid w:val="009D3210"/>
    <w:rsid w:val="009D6313"/>
    <w:rsid w:val="00A22E68"/>
    <w:rsid w:val="00A603DE"/>
    <w:rsid w:val="00A74FA1"/>
    <w:rsid w:val="00A75707"/>
    <w:rsid w:val="00AB0F53"/>
    <w:rsid w:val="00AB53FB"/>
    <w:rsid w:val="00AB5573"/>
    <w:rsid w:val="00AB7D49"/>
    <w:rsid w:val="00AC6D15"/>
    <w:rsid w:val="00AD4F79"/>
    <w:rsid w:val="00AE3E2F"/>
    <w:rsid w:val="00AE7FEA"/>
    <w:rsid w:val="00AF16BF"/>
    <w:rsid w:val="00AF5B26"/>
    <w:rsid w:val="00B0315A"/>
    <w:rsid w:val="00B11478"/>
    <w:rsid w:val="00B13202"/>
    <w:rsid w:val="00B13A99"/>
    <w:rsid w:val="00B145A3"/>
    <w:rsid w:val="00B310BC"/>
    <w:rsid w:val="00B37A60"/>
    <w:rsid w:val="00B527AC"/>
    <w:rsid w:val="00B54F62"/>
    <w:rsid w:val="00B82FB3"/>
    <w:rsid w:val="00B84D78"/>
    <w:rsid w:val="00BF0214"/>
    <w:rsid w:val="00C0122A"/>
    <w:rsid w:val="00C05F2D"/>
    <w:rsid w:val="00C742C6"/>
    <w:rsid w:val="00C849C8"/>
    <w:rsid w:val="00CA17E0"/>
    <w:rsid w:val="00CA7CD3"/>
    <w:rsid w:val="00CC2308"/>
    <w:rsid w:val="00CD4A21"/>
    <w:rsid w:val="00CE0F7E"/>
    <w:rsid w:val="00CF13E1"/>
    <w:rsid w:val="00D00948"/>
    <w:rsid w:val="00D117C4"/>
    <w:rsid w:val="00D13015"/>
    <w:rsid w:val="00D161B4"/>
    <w:rsid w:val="00D407A0"/>
    <w:rsid w:val="00D60C5F"/>
    <w:rsid w:val="00D801A5"/>
    <w:rsid w:val="00D83452"/>
    <w:rsid w:val="00D8373E"/>
    <w:rsid w:val="00D90F1F"/>
    <w:rsid w:val="00DA72DE"/>
    <w:rsid w:val="00DC0077"/>
    <w:rsid w:val="00DC0496"/>
    <w:rsid w:val="00DE33D4"/>
    <w:rsid w:val="00DE56BC"/>
    <w:rsid w:val="00E24BA6"/>
    <w:rsid w:val="00E32A65"/>
    <w:rsid w:val="00E34E09"/>
    <w:rsid w:val="00E476A7"/>
    <w:rsid w:val="00E52761"/>
    <w:rsid w:val="00E55446"/>
    <w:rsid w:val="00E5673D"/>
    <w:rsid w:val="00E7260C"/>
    <w:rsid w:val="00EA333E"/>
    <w:rsid w:val="00EB1C77"/>
    <w:rsid w:val="00EC1867"/>
    <w:rsid w:val="00ED7FB9"/>
    <w:rsid w:val="00F11B04"/>
    <w:rsid w:val="00F35F07"/>
    <w:rsid w:val="00F40124"/>
    <w:rsid w:val="00F47768"/>
    <w:rsid w:val="00F5107A"/>
    <w:rsid w:val="00F54CBD"/>
    <w:rsid w:val="00F564B0"/>
    <w:rsid w:val="00F65390"/>
    <w:rsid w:val="00F75149"/>
    <w:rsid w:val="00F91358"/>
    <w:rsid w:val="00F921EC"/>
    <w:rsid w:val="00F946E4"/>
    <w:rsid w:val="00FA62AB"/>
    <w:rsid w:val="00FC2AC1"/>
    <w:rsid w:val="00FD522B"/>
    <w:rsid w:val="00FD756A"/>
    <w:rsid w:val="00FE2589"/>
    <w:rsid w:val="00FF06C3"/>
    <w:rsid w:val="00F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6E6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8017">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06122639">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32646038">
      <w:bodyDiv w:val="1"/>
      <w:marLeft w:val="0"/>
      <w:marRight w:val="0"/>
      <w:marTop w:val="0"/>
      <w:marBottom w:val="0"/>
      <w:divBdr>
        <w:top w:val="none" w:sz="0" w:space="0" w:color="auto"/>
        <w:left w:val="none" w:sz="0" w:space="0" w:color="auto"/>
        <w:bottom w:val="none" w:sz="0" w:space="0" w:color="auto"/>
        <w:right w:val="none" w:sz="0" w:space="0" w:color="auto"/>
      </w:divBdr>
    </w:div>
    <w:div w:id="850290828">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762027">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39742066">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53802094">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35058481">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6441339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934168989">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1299802">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otsclinic.or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ameda.peralta.edu/wp-content/uploads/2021/02/Alignment-of-Goals-2022-Vision-for-Success-Peralta-Community-College-District-CoAs-Educational-Master-Plan.pdf" TargetMode="External"/><Relationship Id="rId14" Type="http://schemas.openxmlformats.org/officeDocument/2006/relationships/hyperlink" Target="https://alameda.peralta.edu/wp-content/uploads/2019/06/CoA-equity-exec-summary-6.2019.docx"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E402F2A6-2EB1-47BE-AE05-83A0FFA52A71}"/>
</file>

<file path=customXml/itemProps3.xml><?xml version="1.0" encoding="utf-8"?>
<ds:datastoreItem xmlns:ds="http://schemas.openxmlformats.org/officeDocument/2006/customXml" ds:itemID="{E3F62C89-C84D-4EDA-AA29-48F529AD8AA0}"/>
</file>

<file path=customXml/itemProps4.xml><?xml version="1.0" encoding="utf-8"?>
<ds:datastoreItem xmlns:ds="http://schemas.openxmlformats.org/officeDocument/2006/customXml" ds:itemID="{E2A7C6F8-1EE0-48B0-B7A3-C072FC0E98B3}"/>
</file>

<file path=docProps/app.xml><?xml version="1.0" encoding="utf-8"?>
<Properties xmlns="http://schemas.openxmlformats.org/officeDocument/2006/extended-properties" xmlns:vt="http://schemas.openxmlformats.org/officeDocument/2006/docPropsVTypes">
  <Template>Normal</Template>
  <TotalTime>0</TotalTime>
  <Pages>15</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2021-04-08T18:23:00Z</dcterms:created>
  <dcterms:modified xsi:type="dcterms:W3CDTF">2021-04-08T18:23:00Z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