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23F66E7D" w14:textId="71113619" w:rsidR="0038748B" w:rsidRDefault="00FC046D" w:rsidP="00030CBB">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032473">
        <w:rPr>
          <w:rFonts w:ascii="Times New Roman" w:hAnsi="Times New Roman" w:cs="Times New Roman"/>
          <w:sz w:val="28"/>
          <w:szCs w:val="28"/>
        </w:rPr>
        <w:t>Adult Education</w:t>
      </w:r>
    </w:p>
    <w:p w14:paraId="0FFAF3CC" w14:textId="77777777" w:rsidR="00030CBB" w:rsidRDefault="00030CBB" w:rsidP="00030CBB">
      <w:pPr>
        <w:pStyle w:val="NoSpacing"/>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40073DB5" w14:textId="418B121F" w:rsidR="00D93DB7" w:rsidRPr="00AA2BBF" w:rsidRDefault="0027592C" w:rsidP="00311E8A">
            <w:pPr>
              <w:rPr>
                <w:rFonts w:ascii="Times New Roman" w:hAnsi="Times New Roman" w:cs="Times New Roman"/>
                <w:sz w:val="24"/>
                <w:szCs w:val="24"/>
              </w:rPr>
            </w:pPr>
            <w:r w:rsidRPr="00AA2BBF">
              <w:rPr>
                <w:rFonts w:ascii="Times New Roman" w:hAnsi="Times New Roman" w:cs="Times New Roman"/>
                <w:sz w:val="24"/>
                <w:szCs w:val="24"/>
              </w:rPr>
              <w:t>The mission of the Adult Transitions Department at the College of Alameda is to collaborate with Adult Schools and Community Based Organizations to enable adults (18+) to advance education, obtain employment, and improve wages.</w:t>
            </w:r>
          </w:p>
          <w:p w14:paraId="0A67DB19" w14:textId="77777777" w:rsidR="00D93DB7" w:rsidRDefault="00D93DB7" w:rsidP="00311E8A">
            <w:pPr>
              <w:rPr>
                <w:rFonts w:ascii="Segoe UI" w:hAnsi="Segoe UI" w:cs="Segoe UI"/>
              </w:rPr>
            </w:pPr>
          </w:p>
          <w:p w14:paraId="1F8F0D9F" w14:textId="77777777" w:rsidR="00D93DB7" w:rsidRDefault="00D93DB7" w:rsidP="00311E8A">
            <w:pPr>
              <w:rPr>
                <w:rFonts w:ascii="Segoe UI" w:hAnsi="Segoe UI" w:cs="Segoe UI"/>
              </w:rPr>
            </w:pPr>
          </w:p>
          <w:p w14:paraId="7D5752E9" w14:textId="77777777" w:rsidR="00D93DB7" w:rsidRDefault="00D93DB7" w:rsidP="00311E8A">
            <w:pPr>
              <w:rPr>
                <w:rFonts w:ascii="Segoe UI" w:hAnsi="Segoe UI" w:cs="Segoe UI"/>
              </w:rPr>
            </w:pPr>
          </w:p>
          <w:p w14:paraId="2753BB9E" w14:textId="77777777" w:rsidR="00D93DB7" w:rsidRDefault="00D93DB7" w:rsidP="00311E8A">
            <w:pPr>
              <w:rPr>
                <w:rFonts w:ascii="Segoe UI" w:hAnsi="Segoe UI" w:cs="Segoe UI"/>
              </w:rPr>
            </w:pPr>
          </w:p>
          <w:p w14:paraId="149D341C" w14:textId="77777777" w:rsidR="00D93DB7" w:rsidRDefault="00D93DB7" w:rsidP="00311E8A">
            <w:pPr>
              <w:rPr>
                <w:rFonts w:ascii="Segoe UI" w:hAnsi="Segoe UI" w:cs="Segoe UI"/>
              </w:rPr>
            </w:pPr>
          </w:p>
          <w:p w14:paraId="7F437E03" w14:textId="77777777" w:rsidR="00D93DB7" w:rsidRDefault="00D93DB7" w:rsidP="00311E8A">
            <w:pPr>
              <w:rPr>
                <w:rFonts w:ascii="Segoe UI" w:hAnsi="Segoe UI" w:cs="Segoe UI"/>
              </w:rPr>
            </w:pPr>
          </w:p>
          <w:p w14:paraId="318C32EC" w14:textId="77777777" w:rsidR="00D93DB7" w:rsidRDefault="00D93DB7" w:rsidP="00311E8A">
            <w:pPr>
              <w:rPr>
                <w:rFonts w:ascii="Segoe UI" w:hAnsi="Segoe UI" w:cs="Segoe UI"/>
              </w:rPr>
            </w:pPr>
          </w:p>
          <w:p w14:paraId="59BFB6B8" w14:textId="77777777" w:rsidR="00D93DB7" w:rsidRDefault="00D93DB7" w:rsidP="00311E8A">
            <w:pPr>
              <w:rPr>
                <w:rFonts w:ascii="Segoe UI" w:hAnsi="Segoe UI" w:cs="Segoe UI"/>
              </w:rPr>
            </w:pPr>
          </w:p>
          <w:p w14:paraId="2D0C5C65" w14:textId="6A8A6132" w:rsidR="00D93DB7" w:rsidRPr="00FC046D" w:rsidRDefault="00D93DB7"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63204565"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s</w:t>
      </w:r>
      <w:r w:rsidRPr="005A4E46">
        <w:rPr>
          <w:rFonts w:ascii="Segoe UI" w:hAnsi="Segoe UI" w:cs="Segoe UI"/>
        </w:rPr>
        <w:t>taff</w:t>
      </w:r>
      <w:r w:rsidR="00D93DB7">
        <w:rPr>
          <w:rFonts w:ascii="Segoe UI" w:hAnsi="Segoe UI" w:cs="Segoe UI"/>
        </w:rPr>
        <w:t xml:space="preserve"> or faculty</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46C76A75" w14:textId="77777777" w:rsidR="00D86570" w:rsidRDefault="00D86570" w:rsidP="00D86570">
            <w:pPr>
              <w:tabs>
                <w:tab w:val="left" w:pos="960"/>
              </w:tabs>
              <w:rPr>
                <w:rFonts w:ascii="Segoe UI" w:hAnsi="Segoe UI" w:cs="Segoe UI"/>
              </w:rPr>
            </w:pPr>
          </w:p>
          <w:p w14:paraId="1E880A81" w14:textId="77777777" w:rsidR="0027592C" w:rsidRPr="00AA2BBF" w:rsidRDefault="0027592C" w:rsidP="0027592C">
            <w:pPr>
              <w:tabs>
                <w:tab w:val="left" w:pos="960"/>
              </w:tabs>
              <w:rPr>
                <w:rFonts w:ascii="Times New Roman" w:hAnsi="Times New Roman" w:cs="Times New Roman"/>
                <w:sz w:val="24"/>
                <w:szCs w:val="24"/>
              </w:rPr>
            </w:pPr>
            <w:r w:rsidRPr="00AA2BBF">
              <w:rPr>
                <w:rFonts w:ascii="Times New Roman" w:hAnsi="Times New Roman" w:cs="Times New Roman"/>
                <w:sz w:val="24"/>
                <w:szCs w:val="24"/>
              </w:rPr>
              <w:t>Paula Armstead, Associate Dean of Educational Success</w:t>
            </w:r>
          </w:p>
          <w:p w14:paraId="289B0AB9" w14:textId="6407BF18" w:rsidR="00D93DB7" w:rsidRPr="00AA2BBF" w:rsidRDefault="0027592C" w:rsidP="0027592C">
            <w:pPr>
              <w:tabs>
                <w:tab w:val="left" w:pos="960"/>
              </w:tabs>
              <w:rPr>
                <w:rFonts w:ascii="Times New Roman" w:hAnsi="Times New Roman" w:cs="Times New Roman"/>
                <w:sz w:val="24"/>
                <w:szCs w:val="24"/>
              </w:rPr>
            </w:pPr>
            <w:proofErr w:type="spellStart"/>
            <w:r w:rsidRPr="00AA2BBF">
              <w:rPr>
                <w:rFonts w:ascii="Times New Roman" w:hAnsi="Times New Roman" w:cs="Times New Roman"/>
                <w:sz w:val="24"/>
                <w:szCs w:val="24"/>
              </w:rPr>
              <w:t>Kawanna</w:t>
            </w:r>
            <w:proofErr w:type="spellEnd"/>
            <w:r w:rsidRPr="00AA2BBF">
              <w:rPr>
                <w:rFonts w:ascii="Times New Roman" w:hAnsi="Times New Roman" w:cs="Times New Roman"/>
                <w:sz w:val="24"/>
                <w:szCs w:val="24"/>
              </w:rPr>
              <w:t xml:space="preserve"> Rollins, Project Manager, Adult Transitions Liaison</w:t>
            </w:r>
          </w:p>
          <w:p w14:paraId="48319347" w14:textId="77777777" w:rsidR="00D93DB7" w:rsidRDefault="00D93DB7" w:rsidP="00D86570">
            <w:pPr>
              <w:tabs>
                <w:tab w:val="left" w:pos="960"/>
              </w:tabs>
              <w:rPr>
                <w:rFonts w:ascii="Segoe UI" w:hAnsi="Segoe UI" w:cs="Segoe UI"/>
              </w:rPr>
            </w:pPr>
          </w:p>
          <w:p w14:paraId="66E812EA" w14:textId="77777777" w:rsidR="00D93DB7" w:rsidRDefault="00D93DB7" w:rsidP="00D86570">
            <w:pPr>
              <w:tabs>
                <w:tab w:val="left" w:pos="960"/>
              </w:tabs>
              <w:rPr>
                <w:rFonts w:ascii="Segoe UI" w:hAnsi="Segoe UI" w:cs="Segoe UI"/>
              </w:rPr>
            </w:pPr>
          </w:p>
          <w:p w14:paraId="2BF34AEA" w14:textId="77777777" w:rsidR="00D93DB7" w:rsidRDefault="00D93DB7" w:rsidP="00D86570">
            <w:pPr>
              <w:tabs>
                <w:tab w:val="left" w:pos="960"/>
              </w:tabs>
              <w:rPr>
                <w:rFonts w:ascii="Segoe UI" w:hAnsi="Segoe UI" w:cs="Segoe UI"/>
              </w:rPr>
            </w:pPr>
          </w:p>
          <w:p w14:paraId="6ADF1632" w14:textId="77777777" w:rsidR="00D93DB7" w:rsidRDefault="00D93DB7" w:rsidP="00D86570">
            <w:pPr>
              <w:tabs>
                <w:tab w:val="left" w:pos="960"/>
              </w:tabs>
              <w:rPr>
                <w:rFonts w:ascii="Segoe UI" w:hAnsi="Segoe UI" w:cs="Segoe UI"/>
              </w:rPr>
            </w:pPr>
          </w:p>
          <w:p w14:paraId="3E36EB70" w14:textId="2F8DB82B" w:rsidR="00D93DB7" w:rsidRPr="00D86570" w:rsidRDefault="00D93DB7" w:rsidP="00D86570">
            <w:pPr>
              <w:tabs>
                <w:tab w:val="left" w:pos="960"/>
              </w:tabs>
              <w:rPr>
                <w:rFonts w:ascii="Segoe UI" w:hAnsi="Segoe UI" w:cs="Segoe UI"/>
              </w:rPr>
            </w:pPr>
          </w:p>
        </w:tc>
      </w:tr>
    </w:tbl>
    <w:p w14:paraId="7D0B4AC6" w14:textId="35F289EE" w:rsidR="00FC046D" w:rsidRDefault="00FC046D" w:rsidP="00311E8A">
      <w:pPr>
        <w:rPr>
          <w:rFonts w:ascii="Segoe UI" w:hAnsi="Segoe UI" w:cs="Segoe UI"/>
        </w:rPr>
      </w:pPr>
    </w:p>
    <w:p w14:paraId="34A24AF3" w14:textId="1E7805D7" w:rsidR="003C05DC" w:rsidRDefault="003C05DC" w:rsidP="00311E8A">
      <w:pPr>
        <w:rPr>
          <w:rFonts w:ascii="Segoe UI" w:hAnsi="Segoe UI" w:cs="Segoe UI"/>
        </w:rPr>
      </w:pPr>
    </w:p>
    <w:p w14:paraId="7D84BE73" w14:textId="77777777" w:rsidR="0027592C" w:rsidRPr="00FC046D" w:rsidRDefault="0027592C" w:rsidP="00311E8A">
      <w:pPr>
        <w:rPr>
          <w:rFonts w:ascii="Segoe UI" w:hAnsi="Segoe UI" w:cs="Segoe UI"/>
        </w:rPr>
      </w:pPr>
    </w:p>
    <w:p w14:paraId="0192DDEE" w14:textId="77777777" w:rsidR="003C05DC" w:rsidRDefault="003C05DC" w:rsidP="00FC046D">
      <w:pPr>
        <w:rPr>
          <w:rFonts w:ascii="Segoe UI" w:hAnsi="Segoe UI" w:cs="Segoe UI"/>
        </w:rPr>
      </w:pPr>
    </w:p>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5A21B365" w14:textId="77777777" w:rsidR="002C3DF3" w:rsidRPr="00FC046D" w:rsidRDefault="002C3DF3" w:rsidP="002C3DF3">
      <w:pPr>
        <w:rPr>
          <w:rFonts w:ascii="Segoe UI" w:hAnsi="Segoe UI" w:cs="Segoe UI"/>
        </w:rPr>
      </w:pPr>
      <w:r>
        <w:rPr>
          <w:rFonts w:ascii="Segoe UI" w:hAnsi="Segoe UI" w:cs="Segoe UI"/>
        </w:rPr>
        <w:lastRenderedPageBreak/>
        <w:t xml:space="preserve">Your </w:t>
      </w:r>
      <w:r w:rsidRPr="00FC046D">
        <w:rPr>
          <w:rFonts w:ascii="Segoe UI" w:hAnsi="Segoe UI" w:cs="Segoe UI"/>
        </w:rPr>
        <w:t xml:space="preserve">program goals </w:t>
      </w:r>
      <w:r>
        <w:rPr>
          <w:rFonts w:ascii="Segoe UI" w:hAnsi="Segoe UI" w:cs="Segoe UI"/>
        </w:rPr>
        <w:t xml:space="preserve">have been listed </w:t>
      </w:r>
      <w:r w:rsidRPr="00FC046D">
        <w:rPr>
          <w:rFonts w:ascii="Segoe UI" w:hAnsi="Segoe UI" w:cs="Segoe UI"/>
        </w:rPr>
        <w:t xml:space="preserve">from your most recent Program Review or APU. </w:t>
      </w:r>
      <w:r>
        <w:rPr>
          <w:rFonts w:ascii="Segoe UI" w:hAnsi="Segoe UI" w:cs="Segoe UI"/>
        </w:rPr>
        <w:t>P</w:t>
      </w:r>
      <w:r w:rsidRPr="00FC046D">
        <w:rPr>
          <w:rFonts w:ascii="Segoe UI" w:hAnsi="Segoe UI" w:cs="Segoe UI"/>
        </w:rPr>
        <w:t xml:space="preserve">rovide an update on the status of the goal. Has your program achieved the goal?  Have any of your goals been revised or any still in progress? Lastly, make sure to discuss which College or District goal your program goal aligns to. </w:t>
      </w:r>
    </w:p>
    <w:p w14:paraId="59EC1583" w14:textId="77777777" w:rsidR="002C3DF3" w:rsidRPr="00D85B3E" w:rsidRDefault="002C3DF3" w:rsidP="002C3DF3">
      <w:pPr>
        <w:rPr>
          <w:rFonts w:ascii="Segoe UI" w:hAnsi="Segoe UI" w:cs="Segoe UI"/>
          <w:i/>
          <w:iCs/>
        </w:rPr>
      </w:pPr>
      <w:r w:rsidRPr="007E2A4B">
        <w:rPr>
          <w:rFonts w:ascii="Segoe UI" w:hAnsi="Segoe UI" w:cs="Segoe UI"/>
          <w:i/>
          <w:iCs/>
        </w:rPr>
        <w:t xml:space="preserve">If no program goals exist or if this is your first program review, work to create 2-3 goals and align them with a </w:t>
      </w:r>
      <w:proofErr w:type="gramStart"/>
      <w:r w:rsidRPr="007E2A4B">
        <w:rPr>
          <w:rFonts w:ascii="Segoe UI" w:hAnsi="Segoe UI" w:cs="Segoe UI"/>
          <w:i/>
          <w:iCs/>
        </w:rPr>
        <w:t>College</w:t>
      </w:r>
      <w:proofErr w:type="gramEnd"/>
      <w:r w:rsidRPr="007E2A4B">
        <w:rPr>
          <w:rFonts w:ascii="Segoe UI" w:hAnsi="Segoe UI" w:cs="Segoe UI"/>
          <w:i/>
          <w:iCs/>
        </w:rPr>
        <w:t xml:space="preserve"> or District goal. </w:t>
      </w:r>
    </w:p>
    <w:p w14:paraId="3F658874" w14:textId="77777777" w:rsidR="00F37C78" w:rsidRPr="00FC046D" w:rsidRDefault="00F37C78" w:rsidP="00FC046D">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59CC7BC0">
        <w:trPr>
          <w:trHeight w:val="512"/>
        </w:trPr>
        <w:tc>
          <w:tcPr>
            <w:tcW w:w="3505" w:type="dxa"/>
          </w:tcPr>
          <w:p w14:paraId="39A993F0" w14:textId="77777777" w:rsidR="00EA6C7A" w:rsidRPr="0027592C" w:rsidRDefault="00EA6C7A" w:rsidP="002900BE">
            <w:pPr>
              <w:jc w:val="left"/>
              <w:rPr>
                <w:rFonts w:ascii="Segoe UI" w:hAnsi="Segoe UI" w:cs="Segoe UI"/>
                <w:b/>
                <w:bCs/>
              </w:rPr>
            </w:pPr>
            <w:r w:rsidRPr="0027592C">
              <w:rPr>
                <w:rFonts w:ascii="Segoe UI" w:hAnsi="Segoe UI" w:cs="Segoe UI"/>
                <w:b/>
                <w:bCs/>
              </w:rPr>
              <w:t>Program Goal</w:t>
            </w:r>
          </w:p>
        </w:tc>
        <w:tc>
          <w:tcPr>
            <w:tcW w:w="6300" w:type="dxa"/>
          </w:tcPr>
          <w:p w14:paraId="75F1BCDC" w14:textId="67CA0DC7" w:rsidR="008E6EE4" w:rsidRPr="00AA2BBF" w:rsidRDefault="0027592C" w:rsidP="0027592C">
            <w:pPr>
              <w:jc w:val="left"/>
              <w:rPr>
                <w:rFonts w:ascii="Times New Roman" w:hAnsi="Times New Roman" w:cs="Times New Roman"/>
                <w:sz w:val="24"/>
                <w:szCs w:val="24"/>
                <w:highlight w:val="yellow"/>
              </w:rPr>
            </w:pPr>
            <w:r w:rsidRPr="00AA2BBF">
              <w:rPr>
                <w:rFonts w:ascii="Times New Roman" w:hAnsi="Times New Roman" w:cs="Times New Roman"/>
                <w:sz w:val="24"/>
                <w:szCs w:val="24"/>
              </w:rPr>
              <w:t>Strengthen Adult Education Transitions Program with a particular focus on re-entry adults.</w:t>
            </w:r>
          </w:p>
        </w:tc>
      </w:tr>
      <w:tr w:rsidR="00EA6C7A" w:rsidRPr="008E6EE4" w14:paraId="13F87F98" w14:textId="77777777" w:rsidTr="59CC7BC0">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2BEDF6BE" w:rsidR="00EA6C7A" w:rsidRPr="008E6EE4" w:rsidRDefault="0053169C" w:rsidP="00EA6C7A">
            <w:pPr>
              <w:rPr>
                <w:rFonts w:ascii="Segoe UI" w:hAnsi="Segoe UI" w:cs="Segoe UI"/>
              </w:rPr>
            </w:pPr>
            <w:r>
              <w:rPr>
                <w:rFonts w:ascii="Segoe UI" w:hAnsi="Segoe UI" w:cs="Segoe UI"/>
              </w:rPr>
              <w:t>Since the departure of our previous Project Manager of Adult</w:t>
            </w:r>
            <w:r w:rsidR="006E2CA9" w:rsidRPr="006E2CA9">
              <w:rPr>
                <w:rFonts w:ascii="Segoe UI" w:hAnsi="Segoe UI" w:cs="Segoe UI"/>
              </w:rPr>
              <w:t xml:space="preserve"> Education </w:t>
            </w:r>
            <w:r w:rsidR="00CF643C" w:rsidRPr="006E2CA9">
              <w:rPr>
                <w:rFonts w:ascii="Segoe UI" w:hAnsi="Segoe UI" w:cs="Segoe UI"/>
              </w:rPr>
              <w:t>on</w:t>
            </w:r>
            <w:r w:rsidR="006E2CA9" w:rsidRPr="006E2CA9">
              <w:rPr>
                <w:rFonts w:ascii="Segoe UI" w:hAnsi="Segoe UI" w:cs="Segoe UI"/>
              </w:rPr>
              <w:t xml:space="preserve"> January 1, 2021</w:t>
            </w:r>
            <w:r>
              <w:rPr>
                <w:rFonts w:ascii="Segoe UI" w:hAnsi="Segoe UI" w:cs="Segoe UI"/>
              </w:rPr>
              <w:t>, w</w:t>
            </w:r>
            <w:r w:rsidR="000B3B16">
              <w:rPr>
                <w:rFonts w:ascii="Segoe UI" w:hAnsi="Segoe UI" w:cs="Segoe UI"/>
              </w:rPr>
              <w:t xml:space="preserve">e have hired </w:t>
            </w:r>
            <w:r w:rsidR="00A32FB2">
              <w:rPr>
                <w:rFonts w:ascii="Segoe UI" w:hAnsi="Segoe UI" w:cs="Segoe UI"/>
              </w:rPr>
              <w:t xml:space="preserve">a new </w:t>
            </w:r>
            <w:r w:rsidR="00BA36F0">
              <w:rPr>
                <w:rFonts w:ascii="Segoe UI" w:hAnsi="Segoe UI" w:cs="Segoe UI"/>
              </w:rPr>
              <w:t>full time project manager</w:t>
            </w:r>
            <w:r w:rsidR="00BD567D">
              <w:rPr>
                <w:rFonts w:ascii="Segoe UI" w:hAnsi="Segoe UI" w:cs="Segoe UI"/>
              </w:rPr>
              <w:t xml:space="preserve"> and </w:t>
            </w:r>
            <w:r w:rsidR="00DF2D26">
              <w:rPr>
                <w:rFonts w:ascii="Segoe UI" w:hAnsi="Segoe UI" w:cs="Segoe UI"/>
              </w:rPr>
              <w:t xml:space="preserve">have maintained online services such as </w:t>
            </w:r>
            <w:r w:rsidR="00783D01">
              <w:rPr>
                <w:rFonts w:ascii="Segoe UI" w:hAnsi="Segoe UI" w:cs="Segoe UI"/>
              </w:rPr>
              <w:t>1:1 workshop</w:t>
            </w:r>
            <w:r w:rsidR="005651B6">
              <w:rPr>
                <w:rFonts w:ascii="Segoe UI" w:hAnsi="Segoe UI" w:cs="Segoe UI"/>
              </w:rPr>
              <w:t xml:space="preserve"> </w:t>
            </w:r>
            <w:proofErr w:type="gramStart"/>
            <w:r w:rsidR="00977368">
              <w:rPr>
                <w:rFonts w:ascii="Segoe UI" w:hAnsi="Segoe UI" w:cs="Segoe UI"/>
              </w:rPr>
              <w:t>appointments</w:t>
            </w:r>
            <w:proofErr w:type="gramEnd"/>
            <w:r w:rsidR="00110003">
              <w:rPr>
                <w:rFonts w:ascii="Segoe UI" w:hAnsi="Segoe UI" w:cs="Segoe UI"/>
              </w:rPr>
              <w:t xml:space="preserve">. </w:t>
            </w:r>
            <w:r w:rsidR="00657C57">
              <w:rPr>
                <w:rFonts w:ascii="Segoe UI" w:hAnsi="Segoe UI" w:cs="Segoe UI"/>
              </w:rPr>
              <w:t>Our focused efforts on re-entry adults includes making</w:t>
            </w:r>
            <w:r w:rsidR="00EA0748">
              <w:rPr>
                <w:rFonts w:ascii="Segoe UI" w:hAnsi="Segoe UI" w:cs="Segoe UI"/>
              </w:rPr>
              <w:t xml:space="preserve"> </w:t>
            </w:r>
            <w:r w:rsidR="00AA6CFB">
              <w:rPr>
                <w:rFonts w:ascii="Segoe UI" w:hAnsi="Segoe UI" w:cs="Segoe UI"/>
              </w:rPr>
              <w:t>connections</w:t>
            </w:r>
            <w:r w:rsidR="004A49E0">
              <w:rPr>
                <w:rFonts w:ascii="Segoe UI" w:hAnsi="Segoe UI" w:cs="Segoe UI"/>
              </w:rPr>
              <w:t xml:space="preserve"> </w:t>
            </w:r>
            <w:r w:rsidR="00DC7BAC">
              <w:rPr>
                <w:rFonts w:ascii="Segoe UI" w:hAnsi="Segoe UI" w:cs="Segoe UI"/>
              </w:rPr>
              <w:t>by attending</w:t>
            </w:r>
            <w:r w:rsidR="005651B6">
              <w:rPr>
                <w:rFonts w:ascii="Segoe UI" w:hAnsi="Segoe UI" w:cs="Segoe UI"/>
              </w:rPr>
              <w:t xml:space="preserve"> Community Corrections Partnership Executive Committee (CC</w:t>
            </w:r>
            <w:r w:rsidR="00605C9D">
              <w:rPr>
                <w:rFonts w:ascii="Segoe UI" w:hAnsi="Segoe UI" w:cs="Segoe UI"/>
              </w:rPr>
              <w:t>PEC)</w:t>
            </w:r>
            <w:r w:rsidR="005651B6">
              <w:rPr>
                <w:rFonts w:ascii="Segoe UI" w:hAnsi="Segoe UI" w:cs="Segoe UI"/>
              </w:rPr>
              <w:t xml:space="preserve"> Meetings. </w:t>
            </w:r>
          </w:p>
        </w:tc>
      </w:tr>
      <w:tr w:rsidR="00EA6C7A" w:rsidRPr="008E6EE4" w14:paraId="78163658" w14:textId="77777777" w:rsidTr="59CC7BC0">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03F4A803" w14:textId="6F64781A" w:rsidR="00D86570" w:rsidRPr="00D86570" w:rsidRDefault="4521FF33" w:rsidP="59CC7BC0">
            <w:pPr>
              <w:tabs>
                <w:tab w:val="left" w:pos="2128"/>
              </w:tabs>
              <w:rPr>
                <w:rFonts w:ascii="Segoe UI" w:hAnsi="Segoe UI" w:cs="Segoe UI"/>
              </w:rPr>
            </w:pPr>
            <w:r w:rsidRPr="59CC7BC0">
              <w:rPr>
                <w:rFonts w:ascii="Calibri" w:eastAsia="Calibri" w:hAnsi="Calibri" w:cs="Calibri"/>
              </w:rPr>
              <w:t xml:space="preserve">• Increase retention and persistence rates </w:t>
            </w:r>
          </w:p>
          <w:p w14:paraId="079BDF1B" w14:textId="6BC74DE6" w:rsidR="00D86570" w:rsidRPr="00D86570" w:rsidRDefault="4521FF33" w:rsidP="59CC7BC0">
            <w:pPr>
              <w:tabs>
                <w:tab w:val="left" w:pos="2128"/>
              </w:tabs>
              <w:rPr>
                <w:rFonts w:ascii="Segoe UI" w:hAnsi="Segoe UI" w:cs="Segoe UI"/>
              </w:rPr>
            </w:pPr>
            <w:r w:rsidRPr="59CC7BC0">
              <w:rPr>
                <w:rFonts w:ascii="Calibri" w:eastAsia="Calibri" w:hAnsi="Calibri" w:cs="Calibri"/>
              </w:rPr>
              <w:t xml:space="preserve">• Increase community &amp; educational partnerships </w:t>
            </w:r>
          </w:p>
          <w:p w14:paraId="39BFD0C1" w14:textId="120DB207" w:rsidR="00D86570" w:rsidRPr="00D86570" w:rsidRDefault="4521FF33" w:rsidP="59CC7BC0">
            <w:pPr>
              <w:tabs>
                <w:tab w:val="left" w:pos="2128"/>
              </w:tabs>
              <w:rPr>
                <w:rFonts w:ascii="Segoe UI" w:hAnsi="Segoe UI" w:cs="Segoe UI"/>
              </w:rPr>
            </w:pPr>
            <w:r w:rsidRPr="59CC7BC0">
              <w:rPr>
                <w:rFonts w:ascii="Calibri" w:eastAsia="Calibri" w:hAnsi="Calibri" w:cs="Calibri"/>
              </w:rPr>
              <w:t xml:space="preserve">• Advance COA teaching and learning </w:t>
            </w:r>
          </w:p>
          <w:p w14:paraId="5E87D342" w14:textId="28E0E5F9" w:rsidR="00D86570" w:rsidRPr="00D86570" w:rsidRDefault="004976A9" w:rsidP="59CC7BC0">
            <w:pPr>
              <w:tabs>
                <w:tab w:val="left" w:pos="2128"/>
              </w:tabs>
              <w:rPr>
                <w:rFonts w:ascii="Segoe UI" w:hAnsi="Segoe UI" w:cs="Segoe UI"/>
              </w:rPr>
            </w:pPr>
            <w:r>
              <w:t xml:space="preserve">That we are responsible for providing a smooth transition for students from adult schools, local community-based organizations, and re-entry clients to academic programs and services at College of Alameda. </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59CC7BC0">
        <w:trPr>
          <w:trHeight w:val="512"/>
        </w:trPr>
        <w:tc>
          <w:tcPr>
            <w:tcW w:w="3505" w:type="dxa"/>
          </w:tcPr>
          <w:p w14:paraId="21306CB4" w14:textId="77777777" w:rsidR="00EA6C7A" w:rsidRPr="0027592C" w:rsidRDefault="00EA6C7A" w:rsidP="00260CB1">
            <w:pPr>
              <w:jc w:val="left"/>
              <w:rPr>
                <w:rFonts w:ascii="Segoe UI" w:hAnsi="Segoe UI" w:cs="Segoe UI"/>
                <w:b/>
                <w:bCs/>
              </w:rPr>
            </w:pPr>
            <w:r w:rsidRPr="0027592C">
              <w:rPr>
                <w:rFonts w:ascii="Segoe UI" w:hAnsi="Segoe UI" w:cs="Segoe UI"/>
                <w:b/>
                <w:bCs/>
              </w:rPr>
              <w:t>Program Goal</w:t>
            </w:r>
          </w:p>
        </w:tc>
        <w:tc>
          <w:tcPr>
            <w:tcW w:w="6300" w:type="dxa"/>
          </w:tcPr>
          <w:p w14:paraId="59C70A48" w14:textId="18E12513" w:rsidR="008E6EE4" w:rsidRPr="00AA2BBF" w:rsidRDefault="0027592C" w:rsidP="0027592C">
            <w:pPr>
              <w:jc w:val="left"/>
              <w:rPr>
                <w:rFonts w:ascii="Times New Roman" w:hAnsi="Times New Roman" w:cs="Times New Roman"/>
              </w:rPr>
            </w:pPr>
            <w:r w:rsidRPr="00AA2BBF">
              <w:rPr>
                <w:rFonts w:ascii="Times New Roman" w:hAnsi="Times New Roman" w:cs="Times New Roman"/>
                <w:sz w:val="24"/>
                <w:szCs w:val="24"/>
              </w:rPr>
              <w:t>Increase the number of concurrent enrollment students from adult schools.</w:t>
            </w:r>
          </w:p>
        </w:tc>
      </w:tr>
      <w:tr w:rsidR="00EA6C7A" w:rsidRPr="008E6EE4" w14:paraId="5A60F483" w14:textId="77777777" w:rsidTr="59CC7BC0">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1527FDF3" w:rsidR="00EA6C7A" w:rsidRPr="008E6EE4" w:rsidRDefault="00A71F3A" w:rsidP="00260CB1">
            <w:pPr>
              <w:rPr>
                <w:rFonts w:ascii="Segoe UI" w:hAnsi="Segoe UI" w:cs="Segoe UI"/>
              </w:rPr>
            </w:pPr>
            <w:r w:rsidRPr="00A71F3A">
              <w:rPr>
                <w:rFonts w:ascii="Segoe UI" w:hAnsi="Segoe UI" w:cs="Segoe UI"/>
              </w:rPr>
              <w:t>The program will continue to promote non-credit courses; host application one on one assistance and workshops; strengthen pathway from Alameda Adult school to increase concurrent enrollment. We anticipate that we should see numbers stabilize or grow as more sections are eventually added.</w:t>
            </w:r>
          </w:p>
        </w:tc>
      </w:tr>
      <w:tr w:rsidR="00EA6C7A" w:rsidRPr="008E6EE4" w14:paraId="01A4E1E1" w14:textId="77777777" w:rsidTr="59CC7BC0">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69262C12" w14:textId="6F64781A" w:rsidR="1E920D8A" w:rsidRDefault="1E920D8A" w:rsidP="59CC7BC0">
            <w:pPr>
              <w:tabs>
                <w:tab w:val="left" w:pos="2128"/>
              </w:tabs>
              <w:rPr>
                <w:rFonts w:ascii="Segoe UI" w:hAnsi="Segoe UI" w:cs="Segoe UI"/>
              </w:rPr>
            </w:pPr>
            <w:r w:rsidRPr="59CC7BC0">
              <w:rPr>
                <w:rFonts w:ascii="Calibri" w:eastAsia="Calibri" w:hAnsi="Calibri" w:cs="Calibri"/>
              </w:rPr>
              <w:t xml:space="preserve">• Increase retention and persistence rates </w:t>
            </w:r>
          </w:p>
          <w:p w14:paraId="327E7FAC" w14:textId="6BC74DE6" w:rsidR="1E920D8A" w:rsidRDefault="1E920D8A" w:rsidP="59CC7BC0">
            <w:pPr>
              <w:tabs>
                <w:tab w:val="left" w:pos="2128"/>
              </w:tabs>
              <w:rPr>
                <w:rFonts w:ascii="Segoe UI" w:hAnsi="Segoe UI" w:cs="Segoe UI"/>
              </w:rPr>
            </w:pPr>
            <w:r w:rsidRPr="59CC7BC0">
              <w:rPr>
                <w:rFonts w:ascii="Calibri" w:eastAsia="Calibri" w:hAnsi="Calibri" w:cs="Calibri"/>
              </w:rPr>
              <w:t xml:space="preserve">• Increase community &amp; educational partnerships </w:t>
            </w:r>
          </w:p>
          <w:p w14:paraId="4757B434" w14:textId="4AD5E478" w:rsidR="1E920D8A" w:rsidRDefault="1E920D8A" w:rsidP="59CC7BC0">
            <w:pPr>
              <w:tabs>
                <w:tab w:val="left" w:pos="2128"/>
              </w:tabs>
              <w:rPr>
                <w:rFonts w:ascii="Segoe UI" w:hAnsi="Segoe UI" w:cs="Segoe UI"/>
              </w:rPr>
            </w:pPr>
            <w:r w:rsidRPr="59CC7BC0">
              <w:rPr>
                <w:rFonts w:ascii="Calibri" w:eastAsia="Calibri" w:hAnsi="Calibri" w:cs="Calibri"/>
              </w:rPr>
              <w:t>• Advance COA teaching and learning</w:t>
            </w:r>
          </w:p>
          <w:p w14:paraId="5B6D0D52" w14:textId="2149217A" w:rsidR="00EA6C7A" w:rsidRPr="008E6EE4" w:rsidRDefault="004F7FEB" w:rsidP="00260CB1">
            <w:pPr>
              <w:rPr>
                <w:rFonts w:ascii="Segoe UI" w:hAnsi="Segoe UI" w:cs="Segoe UI"/>
              </w:rPr>
            </w:pPr>
            <w:r w:rsidRPr="00AA2BBF">
              <w:t>That we are responsible for providing a smooth transition for students from adult schools, local community-based organizations, and re-entry clients to academic programs and services at College of Alameda.</w:t>
            </w:r>
          </w:p>
        </w:tc>
      </w:tr>
    </w:tbl>
    <w:p w14:paraId="225C8530" w14:textId="77777777" w:rsidR="00F37C78" w:rsidRDefault="00F37C78" w:rsidP="00311E8A">
      <w:pPr>
        <w:rPr>
          <w:rFonts w:ascii="Segoe UI" w:hAnsi="Segoe UI" w:cs="Segoe UI"/>
        </w:rPr>
      </w:pPr>
    </w:p>
    <w:p w14:paraId="4E3B6321" w14:textId="77777777" w:rsidR="00F37C78" w:rsidRDefault="00F37C78" w:rsidP="00F37C78">
      <w:pPr>
        <w:rPr>
          <w:rFonts w:ascii="Segoe UI" w:hAnsi="Segoe UI" w:cs="Segoe UI"/>
        </w:rPr>
      </w:pPr>
      <w:r w:rsidRPr="002B62B3">
        <w:rPr>
          <w:rFonts w:ascii="Segoe UI" w:hAnsi="Segoe UI" w:cs="Segoe UI"/>
        </w:rPr>
        <w:t>List the essential functions of your department, program or unit and provide a description of how the unit aligns with the college mission.</w:t>
      </w:r>
    </w:p>
    <w:tbl>
      <w:tblPr>
        <w:tblStyle w:val="TableGrid"/>
        <w:tblW w:w="0" w:type="auto"/>
        <w:tblLook w:val="04A0" w:firstRow="1" w:lastRow="0" w:firstColumn="1" w:lastColumn="0" w:noHBand="0" w:noVBand="1"/>
      </w:tblPr>
      <w:tblGrid>
        <w:gridCol w:w="9350"/>
      </w:tblGrid>
      <w:tr w:rsidR="00F37C78" w14:paraId="7E65B3E7" w14:textId="77777777" w:rsidTr="00F37C78">
        <w:tc>
          <w:tcPr>
            <w:tcW w:w="9350" w:type="dxa"/>
          </w:tcPr>
          <w:p w14:paraId="3434EFF6" w14:textId="77777777" w:rsidR="00AA2BBF" w:rsidRPr="00AA2BBF" w:rsidRDefault="00AA2BBF" w:rsidP="00AA2BBF">
            <w:pPr>
              <w:pStyle w:val="Default"/>
            </w:pPr>
            <w:r w:rsidRPr="00AA2BBF">
              <w:lastRenderedPageBreak/>
              <w:t xml:space="preserve">The essential functions of the department that aligns with the college mission are: </w:t>
            </w:r>
          </w:p>
          <w:p w14:paraId="6DE688A1" w14:textId="77777777" w:rsidR="00AA2BBF" w:rsidRPr="00AA2BBF" w:rsidRDefault="00AA2BBF" w:rsidP="00AA2BBF">
            <w:pPr>
              <w:pStyle w:val="Default"/>
            </w:pPr>
            <w:r w:rsidRPr="00AA2BBF">
              <w:t xml:space="preserve">- That we are responsible for providing a smooth transition for students from adult schools, local community-based organizations, and re-entry clients to academic programs and services at College of Alameda. </w:t>
            </w:r>
          </w:p>
          <w:p w14:paraId="401487A4" w14:textId="77777777" w:rsidR="00AA2BBF" w:rsidRPr="00AA2BBF" w:rsidRDefault="00AA2BBF" w:rsidP="00AA2BBF">
            <w:pPr>
              <w:pStyle w:val="Default"/>
            </w:pPr>
            <w:r w:rsidRPr="00AA2BBF">
              <w:t xml:space="preserve">- We work with other departments such as Welcome Center, EOPS, Financial Aid, DSPS, Counseling, to provide adult students additional support as they enroll in services to help them be successful. </w:t>
            </w:r>
          </w:p>
          <w:p w14:paraId="6EA481DB" w14:textId="77777777" w:rsidR="00AA2BBF" w:rsidRPr="00AA2BBF" w:rsidRDefault="00AA2BBF" w:rsidP="00AA2BBF">
            <w:pPr>
              <w:pStyle w:val="Default"/>
            </w:pPr>
            <w:r w:rsidRPr="00AA2BBF">
              <w:t xml:space="preserve">- Works to demystify fear and challenges of the enrollment processes for students, such as asylum pending students, concurrently enrolled students, ESOL students, and others who may feel intimidated by the admissions process. </w:t>
            </w:r>
          </w:p>
          <w:p w14:paraId="695940B4" w14:textId="20142717" w:rsidR="00F37C78" w:rsidRDefault="00F37C78" w:rsidP="00311E8A">
            <w:pPr>
              <w:rPr>
                <w:rFonts w:ascii="Segoe UI" w:hAnsi="Segoe UI" w:cs="Segoe UI"/>
              </w:rPr>
            </w:pPr>
          </w:p>
          <w:p w14:paraId="15DA9A7F" w14:textId="44EA81C9" w:rsidR="00F37C78" w:rsidRDefault="00F37C78" w:rsidP="00311E8A">
            <w:pPr>
              <w:rPr>
                <w:rFonts w:ascii="Segoe UI" w:hAnsi="Segoe UI" w:cs="Segoe UI"/>
              </w:rPr>
            </w:pPr>
          </w:p>
        </w:tc>
      </w:tr>
    </w:tbl>
    <w:p w14:paraId="20C37DAD" w14:textId="77777777" w:rsidR="00030CBB" w:rsidRDefault="00030CBB" w:rsidP="00C5311C">
      <w:pPr>
        <w:rPr>
          <w:rFonts w:ascii="Segoe UI" w:hAnsi="Segoe UI" w:cs="Segoe UI"/>
          <w:b/>
          <w:u w:val="single"/>
        </w:rPr>
      </w:pPr>
    </w:p>
    <w:p w14:paraId="29096C9D" w14:textId="5323D587"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030CBB" w:rsidRDefault="00AA12CB"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AA12CB"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AA12CB"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Trends and Productivity Dashboard</w:t>
        </w:r>
      </w:hyperlink>
    </w:p>
    <w:p w14:paraId="23354CB2" w14:textId="664BBDC0" w:rsidR="00030CBB" w:rsidRDefault="00AA12CB" w:rsidP="00030CBB">
      <w:pPr>
        <w:pStyle w:val="NoSpacing"/>
        <w:jc w:val="center"/>
        <w:rPr>
          <w:rStyle w:val="Hyperlink"/>
          <w:rFonts w:ascii="Segoe UI" w:hAnsi="Segoe UI" w:cs="Segoe UI"/>
          <w:b/>
          <w:bCs/>
          <w:sz w:val="20"/>
          <w:szCs w:val="20"/>
        </w:rPr>
      </w:pPr>
      <w:hyperlink r:id="rId12" w:history="1">
        <w:r w:rsidR="00FC046D" w:rsidRPr="00030CBB">
          <w:rPr>
            <w:rStyle w:val="Hyperlink"/>
            <w:rFonts w:ascii="Segoe UI" w:hAnsi="Segoe UI" w:cs="Segoe UI"/>
            <w:b/>
            <w:bCs/>
            <w:sz w:val="20"/>
            <w:szCs w:val="20"/>
          </w:rPr>
          <w:t>Degrees and Certificates Dashboard</w:t>
        </w:r>
      </w:hyperlink>
    </w:p>
    <w:p w14:paraId="02BB6F42" w14:textId="547F492F" w:rsidR="00030CBB" w:rsidRDefault="00030CBB" w:rsidP="00030CBB">
      <w:pPr>
        <w:pStyle w:val="NoSpacing"/>
        <w:jc w:val="center"/>
        <w:rPr>
          <w:rFonts w:ascii="Segoe UI" w:hAnsi="Segoe UI" w:cs="Segoe UI"/>
          <w:color w:val="0563C1" w:themeColor="hyperlink"/>
          <w:sz w:val="20"/>
          <w:szCs w:val="20"/>
          <w:u w:val="single"/>
        </w:rPr>
      </w:pPr>
    </w:p>
    <w:p w14:paraId="3227754E" w14:textId="2ECC0B07" w:rsidR="00F5040F" w:rsidRDefault="00F5040F" w:rsidP="00030CBB">
      <w:pPr>
        <w:pStyle w:val="NoSpacing"/>
        <w:jc w:val="center"/>
        <w:rPr>
          <w:rFonts w:ascii="Segoe UI" w:hAnsi="Segoe UI" w:cs="Segoe UI"/>
          <w:color w:val="0563C1" w:themeColor="hyperlink"/>
          <w:sz w:val="20"/>
          <w:szCs w:val="20"/>
          <w:u w:val="single"/>
        </w:rPr>
      </w:pPr>
    </w:p>
    <w:p w14:paraId="64CFCF47" w14:textId="77777777" w:rsidR="00F5040F" w:rsidRPr="00030CBB" w:rsidRDefault="00F5040F" w:rsidP="00030CBB">
      <w:pPr>
        <w:pStyle w:val="NoSpacing"/>
        <w:jc w:val="center"/>
        <w:rPr>
          <w:rFonts w:ascii="Segoe UI" w:hAnsi="Segoe UI" w:cs="Segoe UI"/>
          <w:color w:val="0563C1" w:themeColor="hyperlink"/>
          <w:sz w:val="20"/>
          <w:szCs w:val="20"/>
          <w:u w:val="single"/>
        </w:rPr>
      </w:pPr>
    </w:p>
    <w:p w14:paraId="3D31B3E4" w14:textId="66F58986" w:rsidR="00274637" w:rsidRDefault="00F5040F" w:rsidP="00030CBB">
      <w:pPr>
        <w:jc w:val="center"/>
        <w:rPr>
          <w:rFonts w:ascii="Segoe UI" w:hAnsi="Segoe UI" w:cs="Segoe UI"/>
        </w:rPr>
      </w:pPr>
      <w:r>
        <w:rPr>
          <w:noProof/>
        </w:rPr>
        <w:lastRenderedPageBreak/>
        <w:drawing>
          <wp:inline distT="0" distB="0" distL="0" distR="0" wp14:anchorId="74A9CAA2" wp14:editId="6AADA975">
            <wp:extent cx="5943600" cy="4436745"/>
            <wp:effectExtent l="19050" t="19050" r="19050" b="2095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stretch>
                      <a:fillRect/>
                    </a:stretch>
                  </pic:blipFill>
                  <pic:spPr>
                    <a:xfrm>
                      <a:off x="0" y="0"/>
                      <a:ext cx="5943600" cy="4436745"/>
                    </a:xfrm>
                    <a:prstGeom prst="rect">
                      <a:avLst/>
                    </a:prstGeom>
                    <a:ln w="3175">
                      <a:solidFill>
                        <a:schemeClr val="tx1"/>
                      </a:solidFill>
                    </a:ln>
                  </pic:spPr>
                </pic:pic>
              </a:graphicData>
            </a:graphic>
          </wp:inline>
        </w:drawing>
      </w: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6F590FB8" w:rsidR="00C5311C" w:rsidRDefault="007367B7" w:rsidP="003814FC">
            <w:pPr>
              <w:rPr>
                <w:rFonts w:ascii="Segoe UI" w:hAnsi="Segoe UI" w:cs="Segoe UI"/>
              </w:rPr>
            </w:pPr>
            <w:r w:rsidRPr="007367B7">
              <w:rPr>
                <w:rFonts w:ascii="Segoe UI" w:hAnsi="Segoe UI" w:cs="Segoe UI"/>
              </w:rPr>
              <w:t>The program will continue to promote non-credit courses; host application one on one assistance and workshops</w:t>
            </w:r>
            <w:r w:rsidR="003976C8">
              <w:rPr>
                <w:rFonts w:ascii="Segoe UI" w:hAnsi="Segoe UI" w:cs="Segoe UI"/>
              </w:rPr>
              <w:t>.</w:t>
            </w:r>
            <w:r w:rsidRPr="007367B7">
              <w:rPr>
                <w:rFonts w:ascii="Segoe UI" w:hAnsi="Segoe UI" w:cs="Segoe UI"/>
              </w:rPr>
              <w:t xml:space="preserve"> </w:t>
            </w:r>
            <w:r w:rsidR="00C90BD4">
              <w:rPr>
                <w:rFonts w:ascii="Segoe UI" w:hAnsi="Segoe UI" w:cs="Segoe UI"/>
              </w:rPr>
              <w:t>Power BI data show concurrent enrollment numbers are low but remain steady since the last comprehensive program review</w:t>
            </w:r>
            <w:r w:rsidR="006E242F">
              <w:rPr>
                <w:rFonts w:ascii="Segoe UI" w:hAnsi="Segoe UI" w:cs="Segoe UI"/>
              </w:rPr>
              <w:t xml:space="preserve">, which we had previously anticipated. </w:t>
            </w:r>
            <w:r w:rsidR="003976C8">
              <w:rPr>
                <w:rFonts w:ascii="Segoe UI" w:hAnsi="Segoe UI" w:cs="Segoe UI"/>
              </w:rPr>
              <w:t xml:space="preserve">The program will continue to </w:t>
            </w:r>
            <w:r w:rsidRPr="007367B7">
              <w:rPr>
                <w:rFonts w:ascii="Segoe UI" w:hAnsi="Segoe UI" w:cs="Segoe UI"/>
              </w:rPr>
              <w:t xml:space="preserve">strengthen pathway from Alameda Adult school to increase concurrent enrollment. We anticipate </w:t>
            </w:r>
            <w:r w:rsidR="003173F0">
              <w:rPr>
                <w:rFonts w:ascii="Segoe UI" w:hAnsi="Segoe UI" w:cs="Segoe UI"/>
              </w:rPr>
              <w:t>a growth in enrollment</w:t>
            </w:r>
            <w:r w:rsidRPr="007367B7">
              <w:rPr>
                <w:rFonts w:ascii="Segoe UI" w:hAnsi="Segoe UI" w:cs="Segoe UI"/>
              </w:rPr>
              <w:t xml:space="preserve"> as more sections are eventually added.</w:t>
            </w:r>
          </w:p>
          <w:p w14:paraId="15CE82D1" w14:textId="04539B55" w:rsidR="00C5311C" w:rsidRDefault="00C5311C" w:rsidP="003814FC">
            <w:pPr>
              <w:rPr>
                <w:rFonts w:ascii="Segoe UI" w:hAnsi="Segoe UI" w:cs="Segoe UI"/>
              </w:rPr>
            </w:pPr>
          </w:p>
          <w:p w14:paraId="1976FBBE" w14:textId="77777777" w:rsidR="00C5311C" w:rsidRDefault="00C5311C" w:rsidP="003814FC">
            <w:pPr>
              <w:rPr>
                <w:rFonts w:ascii="Segoe UI" w:hAnsi="Segoe UI" w:cs="Segoe UI"/>
              </w:rPr>
            </w:pPr>
          </w:p>
          <w:p w14:paraId="330EAFE0" w14:textId="77777777" w:rsidR="00C5311C" w:rsidRDefault="00C5311C" w:rsidP="003814FC">
            <w:pPr>
              <w:rPr>
                <w:rFonts w:ascii="Segoe UI" w:hAnsi="Segoe UI" w:cs="Segoe UI"/>
              </w:rPr>
            </w:pP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16BD0437" w14:textId="027908AF" w:rsidR="001D55A5" w:rsidRDefault="00E86B3A" w:rsidP="003814FC">
            <w:pPr>
              <w:rPr>
                <w:rFonts w:ascii="Segoe UI" w:hAnsi="Segoe UI" w:cs="Segoe UI"/>
              </w:rPr>
            </w:pPr>
            <w:r w:rsidRPr="00E86B3A">
              <w:rPr>
                <w:rFonts w:ascii="Segoe UI" w:hAnsi="Segoe UI" w:cs="Segoe UI"/>
              </w:rPr>
              <w:t xml:space="preserve">Despite the impact of covid 19 the students in the ESOL noncredit courses are continuing to stay enrolled and complete the course sequence. We also see an increase of students enrolled in the new non-credit CNA program. </w:t>
            </w:r>
          </w:p>
          <w:p w14:paraId="43BFC5FF" w14:textId="77777777" w:rsidR="006C03B4" w:rsidRDefault="006C03B4" w:rsidP="003814FC">
            <w:pPr>
              <w:rPr>
                <w:rFonts w:ascii="Segoe UI" w:hAnsi="Segoe UI" w:cs="Segoe UI"/>
              </w:rPr>
            </w:pPr>
          </w:p>
          <w:p w14:paraId="187D5112" w14:textId="0A8252AA" w:rsidR="0066614C" w:rsidRDefault="003C0F22" w:rsidP="003814FC">
            <w:pPr>
              <w:rPr>
                <w:rFonts w:ascii="Segoe UI" w:hAnsi="Segoe UI" w:cs="Segoe UI"/>
              </w:rPr>
            </w:pPr>
            <w:r>
              <w:rPr>
                <w:rFonts w:ascii="Segoe UI" w:hAnsi="Segoe UI" w:cs="Segoe UI"/>
              </w:rPr>
              <w:t>Service Area Outcomes includes th</w:t>
            </w:r>
            <w:r w:rsidR="00681EB0">
              <w:rPr>
                <w:rFonts w:ascii="Segoe UI" w:hAnsi="Segoe UI" w:cs="Segoe UI"/>
              </w:rPr>
              <w:t>e new hire of a</w:t>
            </w:r>
            <w:r w:rsidR="00EC18DA">
              <w:rPr>
                <w:rFonts w:ascii="Segoe UI" w:hAnsi="Segoe UI" w:cs="Segoe UI"/>
              </w:rPr>
              <w:t xml:space="preserve"> permanent project </w:t>
            </w:r>
            <w:r w:rsidR="0066614C">
              <w:rPr>
                <w:rFonts w:ascii="Segoe UI" w:hAnsi="Segoe UI" w:cs="Segoe UI"/>
              </w:rPr>
              <w:t>manager,</w:t>
            </w:r>
            <w:r w:rsidR="00EC18DA">
              <w:rPr>
                <w:rFonts w:ascii="Segoe UI" w:hAnsi="Segoe UI" w:cs="Segoe UI"/>
              </w:rPr>
              <w:t xml:space="preserve"> </w:t>
            </w:r>
            <w:r w:rsidR="00681EB0">
              <w:rPr>
                <w:rFonts w:ascii="Segoe UI" w:hAnsi="Segoe UI" w:cs="Segoe UI"/>
              </w:rPr>
              <w:t>and she has</w:t>
            </w:r>
            <w:r w:rsidR="007D0525">
              <w:rPr>
                <w:rFonts w:ascii="Segoe UI" w:hAnsi="Segoe UI" w:cs="Segoe UI"/>
              </w:rPr>
              <w:t xml:space="preserve"> </w:t>
            </w:r>
            <w:r w:rsidR="003A6ACD">
              <w:rPr>
                <w:rFonts w:ascii="Segoe UI" w:hAnsi="Segoe UI" w:cs="Segoe UI"/>
              </w:rPr>
              <w:t>continued</w:t>
            </w:r>
            <w:r w:rsidR="007D0525">
              <w:rPr>
                <w:rFonts w:ascii="Segoe UI" w:hAnsi="Segoe UI" w:cs="Segoe UI"/>
              </w:rPr>
              <w:t xml:space="preserve"> online services such as 1:1 workshop appointments</w:t>
            </w:r>
            <w:r w:rsidR="003A6ACD">
              <w:rPr>
                <w:rFonts w:ascii="Segoe UI" w:hAnsi="Segoe UI" w:cs="Segoe UI"/>
              </w:rPr>
              <w:t xml:space="preserve"> and </w:t>
            </w:r>
            <w:r w:rsidR="00750172">
              <w:rPr>
                <w:rFonts w:ascii="Segoe UI" w:hAnsi="Segoe UI" w:cs="Segoe UI"/>
              </w:rPr>
              <w:t>presentation</w:t>
            </w:r>
            <w:r w:rsidR="00681EB0">
              <w:rPr>
                <w:rFonts w:ascii="Segoe UI" w:hAnsi="Segoe UI" w:cs="Segoe UI"/>
              </w:rPr>
              <w:t>s</w:t>
            </w:r>
            <w:r w:rsidR="00750172">
              <w:rPr>
                <w:rFonts w:ascii="Segoe UI" w:hAnsi="Segoe UI" w:cs="Segoe UI"/>
              </w:rPr>
              <w:t xml:space="preserve"> for our CBO </w:t>
            </w:r>
            <w:r w:rsidR="007C025A">
              <w:rPr>
                <w:rFonts w:ascii="Segoe UI" w:hAnsi="Segoe UI" w:cs="Segoe UI"/>
              </w:rPr>
              <w:t>partners</w:t>
            </w:r>
            <w:r w:rsidR="0076295E">
              <w:rPr>
                <w:rFonts w:ascii="Segoe UI" w:hAnsi="Segoe UI" w:cs="Segoe UI"/>
              </w:rPr>
              <w:t xml:space="preserve">. We </w:t>
            </w:r>
            <w:r w:rsidR="00242391">
              <w:rPr>
                <w:rFonts w:ascii="Segoe UI" w:hAnsi="Segoe UI" w:cs="Segoe UI"/>
              </w:rPr>
              <w:t xml:space="preserve">anticipate increased participation </w:t>
            </w:r>
            <w:r w:rsidR="0066614C">
              <w:rPr>
                <w:rFonts w:ascii="Segoe UI" w:hAnsi="Segoe UI" w:cs="Segoe UI"/>
              </w:rPr>
              <w:t>during the Spring 2022 semester</w:t>
            </w:r>
            <w:r w:rsidR="007D0525">
              <w:rPr>
                <w:rFonts w:ascii="Segoe UI" w:hAnsi="Segoe UI" w:cs="Segoe UI"/>
              </w:rPr>
              <w:t>.</w:t>
            </w:r>
          </w:p>
          <w:p w14:paraId="0498B54E" w14:textId="0FC2A070" w:rsidR="00EC18DA" w:rsidRPr="00FC046D" w:rsidRDefault="007D0525" w:rsidP="003814FC">
            <w:pPr>
              <w:rPr>
                <w:rFonts w:ascii="Segoe UI" w:hAnsi="Segoe UI" w:cs="Segoe UI"/>
              </w:rPr>
            </w:pPr>
            <w:r>
              <w:rPr>
                <w:rFonts w:ascii="Segoe UI" w:hAnsi="Segoe UI" w:cs="Segoe UI"/>
              </w:rPr>
              <w:t xml:space="preserve">Our focused efforts on re-entry adults includes making connections by attending </w:t>
            </w:r>
            <w:r w:rsidR="00CF6598">
              <w:rPr>
                <w:rFonts w:ascii="Segoe UI" w:hAnsi="Segoe UI" w:cs="Segoe UI"/>
              </w:rPr>
              <w:t xml:space="preserve">Bay Area Systems Impact </w:t>
            </w:r>
            <w:r w:rsidR="007F11BA">
              <w:rPr>
                <w:rFonts w:ascii="Segoe UI" w:hAnsi="Segoe UI" w:cs="Segoe UI"/>
              </w:rPr>
              <w:t xml:space="preserve">Consortium (BASIC), and </w:t>
            </w:r>
            <w:r>
              <w:rPr>
                <w:rFonts w:ascii="Segoe UI" w:hAnsi="Segoe UI" w:cs="Segoe UI"/>
              </w:rPr>
              <w:t xml:space="preserve">Community Corrections Partnership Executive Committee (CCPEC) </w:t>
            </w:r>
            <w:r w:rsidR="0015770A">
              <w:rPr>
                <w:rFonts w:ascii="Segoe UI" w:hAnsi="Segoe UI" w:cs="Segoe UI"/>
              </w:rPr>
              <w:t>Meetings,</w:t>
            </w:r>
            <w:r w:rsidR="00605104">
              <w:rPr>
                <w:rFonts w:ascii="Segoe UI" w:hAnsi="Segoe UI" w:cs="Segoe UI"/>
              </w:rPr>
              <w:t xml:space="preserve"> which focuses on outreach and community engagement. </w:t>
            </w:r>
            <w:r w:rsidR="000B6CFC">
              <w:rPr>
                <w:rFonts w:ascii="Segoe UI" w:hAnsi="Segoe UI" w:cs="Segoe UI"/>
              </w:rPr>
              <w:t xml:space="preserve"> Additionally, </w:t>
            </w:r>
            <w:r w:rsidR="002D75D8">
              <w:rPr>
                <w:rFonts w:ascii="Segoe UI" w:hAnsi="Segoe UI" w:cs="Segoe UI"/>
              </w:rPr>
              <w:t xml:space="preserve">we </w:t>
            </w:r>
            <w:r w:rsidR="0015770A">
              <w:rPr>
                <w:rFonts w:ascii="Segoe UI" w:hAnsi="Segoe UI" w:cs="Segoe UI"/>
              </w:rPr>
              <w:t>attend</w:t>
            </w:r>
            <w:r w:rsidR="002D75D8">
              <w:rPr>
                <w:rFonts w:ascii="Segoe UI" w:hAnsi="Segoe UI" w:cs="Segoe UI"/>
              </w:rPr>
              <w:t xml:space="preserve"> NAAEC </w:t>
            </w:r>
            <w:r w:rsidR="003B38DC">
              <w:rPr>
                <w:rFonts w:ascii="Segoe UI" w:hAnsi="Segoe UI" w:cs="Segoe UI"/>
              </w:rPr>
              <w:t xml:space="preserve">meetings to improve upon internal processes relating to data, marketing, </w:t>
            </w:r>
            <w:r w:rsidR="00DF3CB8">
              <w:rPr>
                <w:rFonts w:ascii="Segoe UI" w:hAnsi="Segoe UI" w:cs="Segoe UI"/>
              </w:rPr>
              <w:t>reporting, and advocacy</w:t>
            </w:r>
            <w:r w:rsidR="00D03D66">
              <w:rPr>
                <w:rFonts w:ascii="Segoe UI" w:hAnsi="Segoe UI" w:cs="Segoe UI"/>
              </w:rPr>
              <w:t xml:space="preserve">. </w:t>
            </w:r>
          </w:p>
          <w:p w14:paraId="76E4F93C" w14:textId="77777777" w:rsidR="001D55A5" w:rsidRDefault="001D55A5" w:rsidP="003814FC">
            <w:pPr>
              <w:rPr>
                <w:rFonts w:ascii="Segoe UI" w:hAnsi="Segoe UI" w:cs="Segoe UI"/>
              </w:rPr>
            </w:pPr>
          </w:p>
          <w:p w14:paraId="6110078B" w14:textId="48962119" w:rsidR="00F5040F" w:rsidRDefault="00F5040F" w:rsidP="003814FC">
            <w:pPr>
              <w:rPr>
                <w:rFonts w:ascii="Segoe UI" w:hAnsi="Segoe UI" w:cs="Segoe UI"/>
              </w:rPr>
            </w:pPr>
          </w:p>
          <w:p w14:paraId="3BE17348" w14:textId="77777777" w:rsidR="00F5040F" w:rsidRDefault="00F5040F" w:rsidP="003814FC">
            <w:pPr>
              <w:rPr>
                <w:rFonts w:ascii="Segoe UI" w:hAnsi="Segoe UI" w:cs="Segoe UI"/>
              </w:rPr>
            </w:pPr>
          </w:p>
          <w:p w14:paraId="38FC5DC4" w14:textId="77777777" w:rsidR="00F5040F" w:rsidRDefault="00F5040F" w:rsidP="003814FC">
            <w:pPr>
              <w:rPr>
                <w:rFonts w:ascii="Segoe UI" w:hAnsi="Segoe UI" w:cs="Segoe UI"/>
              </w:rPr>
            </w:pPr>
          </w:p>
          <w:p w14:paraId="2D2DEE40" w14:textId="77777777" w:rsidR="00F5040F" w:rsidRDefault="00F5040F" w:rsidP="003814FC">
            <w:pPr>
              <w:rPr>
                <w:rFonts w:ascii="Segoe UI" w:hAnsi="Segoe UI" w:cs="Segoe UI"/>
              </w:rPr>
            </w:pPr>
          </w:p>
          <w:p w14:paraId="3933A101" w14:textId="77777777" w:rsidR="00F5040F" w:rsidRDefault="00F5040F" w:rsidP="003814FC">
            <w:pPr>
              <w:rPr>
                <w:rFonts w:ascii="Segoe UI" w:hAnsi="Segoe UI" w:cs="Segoe UI"/>
              </w:rPr>
            </w:pPr>
          </w:p>
          <w:p w14:paraId="02BE2ADE" w14:textId="77777777" w:rsidR="00F5040F" w:rsidRDefault="00F5040F" w:rsidP="003814FC">
            <w:pPr>
              <w:rPr>
                <w:rFonts w:ascii="Segoe UI" w:hAnsi="Segoe UI" w:cs="Segoe UI"/>
              </w:rPr>
            </w:pPr>
          </w:p>
          <w:p w14:paraId="6C576A8D" w14:textId="0CB47A22" w:rsidR="00F5040F" w:rsidRPr="00FC046D" w:rsidRDefault="00F5040F"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7BCF31A2" w14:textId="27ED4259" w:rsidR="0027314F" w:rsidRDefault="0027314F">
      <w:pPr>
        <w:rPr>
          <w:rFonts w:ascii="Segoe UI" w:hAnsi="Segoe UI" w:cs="Segoe UI"/>
        </w:rPr>
      </w:pPr>
    </w:p>
    <w:p w14:paraId="3DE91EF6" w14:textId="1A319934" w:rsidR="003814FC" w:rsidRPr="00FC046D" w:rsidRDefault="003814FC" w:rsidP="003814FC">
      <w:pPr>
        <w:rPr>
          <w:rFonts w:ascii="Segoe UI" w:hAnsi="Segoe UI" w:cs="Segoe UI"/>
        </w:rPr>
      </w:pPr>
      <w:r w:rsidRPr="59CC7BC0">
        <w:rPr>
          <w:rFonts w:ascii="Segoe UI" w:hAnsi="Segoe UI" w:cs="Segoe UI"/>
        </w:rPr>
        <w:t>Describe the outcomes and accomplishments from previous year’s funded resource allocation request.</w:t>
      </w:r>
    </w:p>
    <w:p w14:paraId="0D093914" w14:textId="60D51C75" w:rsidR="59CC7BC0" w:rsidRDefault="59CC7BC0" w:rsidP="59CC7BC0">
      <w:pPr>
        <w:rPr>
          <w:rFonts w:ascii="Segoe UI" w:hAnsi="Segoe UI" w:cs="Segoe UI"/>
          <w:highlight w:val="yellow"/>
        </w:rPr>
      </w:pPr>
    </w:p>
    <w:p w14:paraId="7F589E01" w14:textId="635759E7" w:rsidR="60E02324" w:rsidRDefault="60E02324" w:rsidP="59CC7BC0">
      <w:pPr>
        <w:rPr>
          <w:rFonts w:ascii="Segoe UI" w:hAnsi="Segoe UI" w:cs="Segoe UI"/>
          <w:highlight w:val="yellow"/>
        </w:rPr>
      </w:pPr>
      <w:r w:rsidRPr="59CC7BC0">
        <w:rPr>
          <w:rFonts w:ascii="Segoe UI" w:hAnsi="Segoe UI" w:cs="Segoe UI"/>
          <w:highlight w:val="yellow"/>
        </w:rPr>
        <w:t xml:space="preserve">We have no funding requests </w:t>
      </w:r>
      <w:proofErr w:type="gramStart"/>
      <w:r w:rsidRPr="59CC7BC0">
        <w:rPr>
          <w:rFonts w:ascii="Segoe UI" w:hAnsi="Segoe UI" w:cs="Segoe UI"/>
          <w:highlight w:val="yellow"/>
        </w:rPr>
        <w:t>at this time</w:t>
      </w:r>
      <w:proofErr w:type="gramEnd"/>
      <w:r w:rsidRPr="59CC7BC0">
        <w:rPr>
          <w:rFonts w:ascii="Segoe UI" w:hAnsi="Segoe UI" w:cs="Segoe UI"/>
          <w:highlight w:val="yellow"/>
        </w:rPr>
        <w:t>.</w:t>
      </w:r>
      <w:r w:rsidRPr="59CC7BC0">
        <w:rPr>
          <w:rFonts w:ascii="Segoe UI" w:hAnsi="Segoe UI" w:cs="Segoe UI"/>
        </w:rPr>
        <w:t xml:space="preserve"> </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974F4F">
            <w:pPr>
              <w:rPr>
                <w:rFonts w:ascii="Segoe UI" w:eastAsia="Times New Roman" w:hAnsi="Segoe UI" w:cs="Segoe UI"/>
                <w:sz w:val="20"/>
                <w:szCs w:val="20"/>
              </w:rPr>
            </w:pP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77777777" w:rsidR="004F2E5F" w:rsidRPr="00FC046D" w:rsidRDefault="004F2E5F" w:rsidP="00974F4F">
            <w:pPr>
              <w:rPr>
                <w:rFonts w:ascii="Segoe UI" w:eastAsia="Times New Roman" w:hAnsi="Segoe UI" w:cs="Segoe UI"/>
                <w:sz w:val="20"/>
                <w:szCs w:val="20"/>
              </w:rPr>
            </w:pP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77777777" w:rsidR="004F2E5F" w:rsidRPr="00FC046D" w:rsidRDefault="004F2E5F" w:rsidP="00974F4F">
            <w:pPr>
              <w:rPr>
                <w:rFonts w:ascii="Segoe UI" w:eastAsia="Times New Roman" w:hAnsi="Segoe UI" w:cs="Segoe UI"/>
                <w:sz w:val="20"/>
                <w:szCs w:val="20"/>
              </w:rPr>
            </w:pP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3FE7" w14:textId="77777777" w:rsidR="00DA7006" w:rsidRDefault="00DA7006" w:rsidP="000A0E4A">
      <w:pPr>
        <w:spacing w:after="0" w:line="240" w:lineRule="auto"/>
      </w:pPr>
      <w:r>
        <w:separator/>
      </w:r>
    </w:p>
  </w:endnote>
  <w:endnote w:type="continuationSeparator" w:id="0">
    <w:p w14:paraId="4E4F240F" w14:textId="77777777" w:rsidR="00DA7006" w:rsidRDefault="00DA700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012BA99F"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712C6C">
          <w:rPr>
            <w:i/>
            <w:noProof/>
            <w:sz w:val="20"/>
            <w:szCs w:val="20"/>
          </w:rPr>
          <w:t>2</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641C" w14:textId="77777777" w:rsidR="00DA7006" w:rsidRDefault="00DA7006" w:rsidP="000A0E4A">
      <w:pPr>
        <w:spacing w:after="0" w:line="240" w:lineRule="auto"/>
      </w:pPr>
      <w:r>
        <w:separator/>
      </w:r>
    </w:p>
  </w:footnote>
  <w:footnote w:type="continuationSeparator" w:id="0">
    <w:p w14:paraId="7FEC9D00" w14:textId="77777777" w:rsidR="00DA7006" w:rsidRDefault="00DA7006"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F44EA"/>
    <w:multiLevelType w:val="hybridMultilevel"/>
    <w:tmpl w:val="27149E04"/>
    <w:lvl w:ilvl="0" w:tplc="A574FD94">
      <w:start w:val="1"/>
      <w:numFmt w:val="bullet"/>
      <w:lvlText w:val=""/>
      <w:lvlJc w:val="left"/>
      <w:pPr>
        <w:ind w:left="720" w:hanging="360"/>
      </w:pPr>
      <w:rPr>
        <w:rFonts w:ascii="Symbol" w:hAnsi="Symbol" w:hint="default"/>
      </w:rPr>
    </w:lvl>
    <w:lvl w:ilvl="1" w:tplc="BB52D50E">
      <w:start w:val="1"/>
      <w:numFmt w:val="bullet"/>
      <w:lvlText w:val="o"/>
      <w:lvlJc w:val="left"/>
      <w:pPr>
        <w:ind w:left="1440" w:hanging="360"/>
      </w:pPr>
      <w:rPr>
        <w:rFonts w:ascii="Courier New" w:hAnsi="Courier New" w:hint="default"/>
      </w:rPr>
    </w:lvl>
    <w:lvl w:ilvl="2" w:tplc="3BAE0F52">
      <w:start w:val="1"/>
      <w:numFmt w:val="bullet"/>
      <w:lvlText w:val=""/>
      <w:lvlJc w:val="left"/>
      <w:pPr>
        <w:ind w:left="2160" w:hanging="360"/>
      </w:pPr>
      <w:rPr>
        <w:rFonts w:ascii="Wingdings" w:hAnsi="Wingdings" w:hint="default"/>
      </w:rPr>
    </w:lvl>
    <w:lvl w:ilvl="3" w:tplc="FD2E6184">
      <w:start w:val="1"/>
      <w:numFmt w:val="bullet"/>
      <w:lvlText w:val=""/>
      <w:lvlJc w:val="left"/>
      <w:pPr>
        <w:ind w:left="2880" w:hanging="360"/>
      </w:pPr>
      <w:rPr>
        <w:rFonts w:ascii="Symbol" w:hAnsi="Symbol" w:hint="default"/>
      </w:rPr>
    </w:lvl>
    <w:lvl w:ilvl="4" w:tplc="9A7E4D42">
      <w:start w:val="1"/>
      <w:numFmt w:val="bullet"/>
      <w:lvlText w:val="o"/>
      <w:lvlJc w:val="left"/>
      <w:pPr>
        <w:ind w:left="3600" w:hanging="360"/>
      </w:pPr>
      <w:rPr>
        <w:rFonts w:ascii="Courier New" w:hAnsi="Courier New" w:hint="default"/>
      </w:rPr>
    </w:lvl>
    <w:lvl w:ilvl="5" w:tplc="53623952">
      <w:start w:val="1"/>
      <w:numFmt w:val="bullet"/>
      <w:lvlText w:val=""/>
      <w:lvlJc w:val="left"/>
      <w:pPr>
        <w:ind w:left="4320" w:hanging="360"/>
      </w:pPr>
      <w:rPr>
        <w:rFonts w:ascii="Wingdings" w:hAnsi="Wingdings" w:hint="default"/>
      </w:rPr>
    </w:lvl>
    <w:lvl w:ilvl="6" w:tplc="904E9806">
      <w:start w:val="1"/>
      <w:numFmt w:val="bullet"/>
      <w:lvlText w:val=""/>
      <w:lvlJc w:val="left"/>
      <w:pPr>
        <w:ind w:left="5040" w:hanging="360"/>
      </w:pPr>
      <w:rPr>
        <w:rFonts w:ascii="Symbol" w:hAnsi="Symbol" w:hint="default"/>
      </w:rPr>
    </w:lvl>
    <w:lvl w:ilvl="7" w:tplc="CAE8B582">
      <w:start w:val="1"/>
      <w:numFmt w:val="bullet"/>
      <w:lvlText w:val="o"/>
      <w:lvlJc w:val="left"/>
      <w:pPr>
        <w:ind w:left="5760" w:hanging="360"/>
      </w:pPr>
      <w:rPr>
        <w:rFonts w:ascii="Courier New" w:hAnsi="Courier New" w:hint="default"/>
      </w:rPr>
    </w:lvl>
    <w:lvl w:ilvl="8" w:tplc="B3265864">
      <w:start w:val="1"/>
      <w:numFmt w:val="bullet"/>
      <w:lvlText w:val=""/>
      <w:lvlJc w:val="left"/>
      <w:pPr>
        <w:ind w:left="6480" w:hanging="360"/>
      </w:pPr>
      <w:rPr>
        <w:rFonts w:ascii="Wingdings" w:hAnsi="Wingdings" w:hint="default"/>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341337">
    <w:abstractNumId w:val="1"/>
  </w:num>
  <w:num w:numId="2" w16cid:durableId="1067189694">
    <w:abstractNumId w:val="6"/>
  </w:num>
  <w:num w:numId="3" w16cid:durableId="430905138">
    <w:abstractNumId w:val="2"/>
  </w:num>
  <w:num w:numId="4" w16cid:durableId="1360593332">
    <w:abstractNumId w:val="5"/>
  </w:num>
  <w:num w:numId="5" w16cid:durableId="1298947096">
    <w:abstractNumId w:val="0"/>
  </w:num>
  <w:num w:numId="6" w16cid:durableId="53967923">
    <w:abstractNumId w:val="4"/>
  </w:num>
  <w:num w:numId="7" w16cid:durableId="1779520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4F76"/>
    <w:rsid w:val="00030CBB"/>
    <w:rsid w:val="00032473"/>
    <w:rsid w:val="00052914"/>
    <w:rsid w:val="00054C31"/>
    <w:rsid w:val="0005633F"/>
    <w:rsid w:val="00064244"/>
    <w:rsid w:val="000825A9"/>
    <w:rsid w:val="000A0E4A"/>
    <w:rsid w:val="000B3B16"/>
    <w:rsid w:val="000B6CFC"/>
    <w:rsid w:val="000E7A92"/>
    <w:rsid w:val="00110003"/>
    <w:rsid w:val="001121FB"/>
    <w:rsid w:val="00126D51"/>
    <w:rsid w:val="00130C7A"/>
    <w:rsid w:val="00147517"/>
    <w:rsid w:val="0015770A"/>
    <w:rsid w:val="0016138A"/>
    <w:rsid w:val="001A599A"/>
    <w:rsid w:val="001D55A5"/>
    <w:rsid w:val="001F2376"/>
    <w:rsid w:val="002313FB"/>
    <w:rsid w:val="00231D2A"/>
    <w:rsid w:val="00242391"/>
    <w:rsid w:val="002550ED"/>
    <w:rsid w:val="002638FE"/>
    <w:rsid w:val="002723D7"/>
    <w:rsid w:val="0027314F"/>
    <w:rsid w:val="00274637"/>
    <w:rsid w:val="0027592C"/>
    <w:rsid w:val="002C3DF3"/>
    <w:rsid w:val="002D1BBC"/>
    <w:rsid w:val="002D75D8"/>
    <w:rsid w:val="00311E8A"/>
    <w:rsid w:val="003173F0"/>
    <w:rsid w:val="00350D70"/>
    <w:rsid w:val="00351F5F"/>
    <w:rsid w:val="003715AA"/>
    <w:rsid w:val="003731A0"/>
    <w:rsid w:val="003814FC"/>
    <w:rsid w:val="0038748B"/>
    <w:rsid w:val="003976C8"/>
    <w:rsid w:val="00397E64"/>
    <w:rsid w:val="003A6ACD"/>
    <w:rsid w:val="003B38DC"/>
    <w:rsid w:val="003B7CE6"/>
    <w:rsid w:val="003C05DC"/>
    <w:rsid w:val="003C0F22"/>
    <w:rsid w:val="003C1AE6"/>
    <w:rsid w:val="00407804"/>
    <w:rsid w:val="00425484"/>
    <w:rsid w:val="00461459"/>
    <w:rsid w:val="00484315"/>
    <w:rsid w:val="00487EFB"/>
    <w:rsid w:val="004976A9"/>
    <w:rsid w:val="004A25AB"/>
    <w:rsid w:val="004A41DB"/>
    <w:rsid w:val="004A49E0"/>
    <w:rsid w:val="004B5744"/>
    <w:rsid w:val="004F2E5F"/>
    <w:rsid w:val="004F7FEB"/>
    <w:rsid w:val="00515076"/>
    <w:rsid w:val="00521806"/>
    <w:rsid w:val="005225ED"/>
    <w:rsid w:val="0053169C"/>
    <w:rsid w:val="00544800"/>
    <w:rsid w:val="005632E1"/>
    <w:rsid w:val="005651B6"/>
    <w:rsid w:val="00573E46"/>
    <w:rsid w:val="005E37E2"/>
    <w:rsid w:val="005E3FEB"/>
    <w:rsid w:val="00605104"/>
    <w:rsid w:val="00605C9D"/>
    <w:rsid w:val="0061546D"/>
    <w:rsid w:val="006168BC"/>
    <w:rsid w:val="00657C57"/>
    <w:rsid w:val="0066614C"/>
    <w:rsid w:val="00681EB0"/>
    <w:rsid w:val="00682993"/>
    <w:rsid w:val="00691F2C"/>
    <w:rsid w:val="006953E5"/>
    <w:rsid w:val="006A098C"/>
    <w:rsid w:val="006C03B4"/>
    <w:rsid w:val="006C4813"/>
    <w:rsid w:val="006E242F"/>
    <w:rsid w:val="006E2CA9"/>
    <w:rsid w:val="00704685"/>
    <w:rsid w:val="00712C6C"/>
    <w:rsid w:val="00716F76"/>
    <w:rsid w:val="00732115"/>
    <w:rsid w:val="007367B7"/>
    <w:rsid w:val="00740F3B"/>
    <w:rsid w:val="00750172"/>
    <w:rsid w:val="0076295E"/>
    <w:rsid w:val="00783D01"/>
    <w:rsid w:val="00792E7B"/>
    <w:rsid w:val="007C025A"/>
    <w:rsid w:val="007D0525"/>
    <w:rsid w:val="007F11BA"/>
    <w:rsid w:val="00810C53"/>
    <w:rsid w:val="008544A5"/>
    <w:rsid w:val="00854BD5"/>
    <w:rsid w:val="00870AEE"/>
    <w:rsid w:val="008A2377"/>
    <w:rsid w:val="008B0A73"/>
    <w:rsid w:val="008C3B0F"/>
    <w:rsid w:val="008D4FD1"/>
    <w:rsid w:val="008D7298"/>
    <w:rsid w:val="008E38A0"/>
    <w:rsid w:val="008E6EE4"/>
    <w:rsid w:val="00910D26"/>
    <w:rsid w:val="00914CD9"/>
    <w:rsid w:val="009433D4"/>
    <w:rsid w:val="00977368"/>
    <w:rsid w:val="00980553"/>
    <w:rsid w:val="009A4B8B"/>
    <w:rsid w:val="009B49F6"/>
    <w:rsid w:val="009D5D21"/>
    <w:rsid w:val="009D6F3F"/>
    <w:rsid w:val="009F120E"/>
    <w:rsid w:val="00A00CBB"/>
    <w:rsid w:val="00A00F47"/>
    <w:rsid w:val="00A07232"/>
    <w:rsid w:val="00A2453F"/>
    <w:rsid w:val="00A32FB2"/>
    <w:rsid w:val="00A460BA"/>
    <w:rsid w:val="00A61CC3"/>
    <w:rsid w:val="00A71F3A"/>
    <w:rsid w:val="00A74FA1"/>
    <w:rsid w:val="00A907F6"/>
    <w:rsid w:val="00A951EA"/>
    <w:rsid w:val="00AA12CB"/>
    <w:rsid w:val="00AA2BBF"/>
    <w:rsid w:val="00AA6CFB"/>
    <w:rsid w:val="00AB4527"/>
    <w:rsid w:val="00AB53FB"/>
    <w:rsid w:val="00AB7D49"/>
    <w:rsid w:val="00AC6D15"/>
    <w:rsid w:val="00AD3C5B"/>
    <w:rsid w:val="00AD738B"/>
    <w:rsid w:val="00B27065"/>
    <w:rsid w:val="00B53CE7"/>
    <w:rsid w:val="00B54F62"/>
    <w:rsid w:val="00B76C65"/>
    <w:rsid w:val="00BA36F0"/>
    <w:rsid w:val="00BA40B8"/>
    <w:rsid w:val="00BD567D"/>
    <w:rsid w:val="00C044DE"/>
    <w:rsid w:val="00C07F42"/>
    <w:rsid w:val="00C42ED1"/>
    <w:rsid w:val="00C5045E"/>
    <w:rsid w:val="00C5311C"/>
    <w:rsid w:val="00C65C6E"/>
    <w:rsid w:val="00C722F0"/>
    <w:rsid w:val="00C849C8"/>
    <w:rsid w:val="00C90BD4"/>
    <w:rsid w:val="00CE7667"/>
    <w:rsid w:val="00CF13E1"/>
    <w:rsid w:val="00CF643C"/>
    <w:rsid w:val="00CF6598"/>
    <w:rsid w:val="00D03D66"/>
    <w:rsid w:val="00D37487"/>
    <w:rsid w:val="00D45D36"/>
    <w:rsid w:val="00D801A5"/>
    <w:rsid w:val="00D83452"/>
    <w:rsid w:val="00D86570"/>
    <w:rsid w:val="00D93DB7"/>
    <w:rsid w:val="00DA7006"/>
    <w:rsid w:val="00DB7CB2"/>
    <w:rsid w:val="00DC7BAC"/>
    <w:rsid w:val="00DD270A"/>
    <w:rsid w:val="00DE4CB3"/>
    <w:rsid w:val="00DE7748"/>
    <w:rsid w:val="00DF2D26"/>
    <w:rsid w:val="00DF3CB8"/>
    <w:rsid w:val="00DF5379"/>
    <w:rsid w:val="00E26568"/>
    <w:rsid w:val="00E86B3A"/>
    <w:rsid w:val="00EA0748"/>
    <w:rsid w:val="00EA2E4A"/>
    <w:rsid w:val="00EA6C7A"/>
    <w:rsid w:val="00EC18DA"/>
    <w:rsid w:val="00EF698C"/>
    <w:rsid w:val="00F104D9"/>
    <w:rsid w:val="00F21EE3"/>
    <w:rsid w:val="00F36673"/>
    <w:rsid w:val="00F37C78"/>
    <w:rsid w:val="00F423F3"/>
    <w:rsid w:val="00F5040F"/>
    <w:rsid w:val="00F53A69"/>
    <w:rsid w:val="00F63CE1"/>
    <w:rsid w:val="00F63D3A"/>
    <w:rsid w:val="00F751F1"/>
    <w:rsid w:val="00F84F62"/>
    <w:rsid w:val="00F943A9"/>
    <w:rsid w:val="00FB32AB"/>
    <w:rsid w:val="00FB6818"/>
    <w:rsid w:val="00FC046D"/>
    <w:rsid w:val="00FE2589"/>
    <w:rsid w:val="00FF06C3"/>
    <w:rsid w:val="1E920D8A"/>
    <w:rsid w:val="2A4358A7"/>
    <w:rsid w:val="2C8F23FC"/>
    <w:rsid w:val="4521FF33"/>
    <w:rsid w:val="54F90A9D"/>
    <w:rsid w:val="59CC7BC0"/>
    <w:rsid w:val="60E02324"/>
    <w:rsid w:val="68DDA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AA2B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132763-0036-400B-8009-108210C977F8}">
  <ds:schemaRefs>
    <ds:schemaRef ds:uri="http://schemas.openxmlformats.org/officeDocument/2006/bibliography"/>
  </ds:schemaRefs>
</ds:datastoreItem>
</file>

<file path=customXml/itemProps2.xml><?xml version="1.0" encoding="utf-8"?>
<ds:datastoreItem xmlns:ds="http://schemas.openxmlformats.org/officeDocument/2006/customXml" ds:itemID="{847C7587-CF5C-4A1D-A1D6-B50AEB4C937F}"/>
</file>

<file path=customXml/itemProps3.xml><?xml version="1.0" encoding="utf-8"?>
<ds:datastoreItem xmlns:ds="http://schemas.openxmlformats.org/officeDocument/2006/customXml" ds:itemID="{E17D8D32-E43A-4DFF-B0C4-44CB93DFE4F1}"/>
</file>

<file path=customXml/itemProps4.xml><?xml version="1.0" encoding="utf-8"?>
<ds:datastoreItem xmlns:ds="http://schemas.openxmlformats.org/officeDocument/2006/customXml" ds:itemID="{227AAC78-F8AF-47A9-8CE0-7E3ED375D239}"/>
</file>

<file path=docProps/app.xml><?xml version="1.0" encoding="utf-8"?>
<Properties xmlns="http://schemas.openxmlformats.org/officeDocument/2006/extended-properties" xmlns:vt="http://schemas.openxmlformats.org/officeDocument/2006/docPropsVTypes">
  <Template>Normal</Template>
  <TotalTime>1</TotalTime>
  <Pages>10</Pages>
  <Words>1226</Words>
  <Characters>7259</Characters>
  <Application>Microsoft Office Word</Application>
  <DocSecurity>0</DocSecurity>
  <Lines>164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4</cp:revision>
  <cp:lastPrinted>2021-11-18T20:49:00Z</cp:lastPrinted>
  <dcterms:created xsi:type="dcterms:W3CDTF">2021-12-15T16:46:00Z</dcterms:created>
  <dcterms:modified xsi:type="dcterms:W3CDTF">2022-10-06T01:21:00Z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