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68AC9D52" w:rsidR="00BB245F" w:rsidRPr="00D921B3" w:rsidRDefault="000B4161" w:rsidP="005A4E46">
      <w:pPr>
        <w:pStyle w:val="NoSpacing"/>
        <w:rPr>
          <w:rFonts w:ascii="Times New Roman" w:hAnsi="Times New Roman" w:cs="Times New Roman"/>
          <w:b/>
          <w:bCs/>
          <w:sz w:val="28"/>
          <w:szCs w:val="28"/>
        </w:rPr>
      </w:pPr>
      <w:r w:rsidRPr="005A4E46">
        <w:rPr>
          <w:rFonts w:ascii="Times New Roman" w:hAnsi="Times New Roman" w:cs="Times New Roman"/>
          <w:sz w:val="28"/>
          <w:szCs w:val="28"/>
        </w:rPr>
        <w:t>202</w:t>
      </w:r>
      <w:r w:rsidR="00BB245F">
        <w:rPr>
          <w:rFonts w:ascii="Times New Roman" w:hAnsi="Times New Roman" w:cs="Times New Roman"/>
          <w:sz w:val="28"/>
          <w:szCs w:val="28"/>
        </w:rPr>
        <w:t>2</w:t>
      </w:r>
      <w:r w:rsidRPr="005A4E46">
        <w:rPr>
          <w:rFonts w:ascii="Times New Roman" w:hAnsi="Times New Roman" w:cs="Times New Roman"/>
          <w:sz w:val="28"/>
          <w:szCs w:val="28"/>
        </w:rPr>
        <w:t>-2</w:t>
      </w:r>
      <w:r w:rsidR="00BB245F">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Review </w:t>
      </w:r>
      <w:r w:rsidR="00582800">
        <w:rPr>
          <w:rFonts w:ascii="Times New Roman" w:hAnsi="Times New Roman" w:cs="Times New Roman"/>
          <w:sz w:val="28"/>
          <w:szCs w:val="28"/>
        </w:rPr>
        <w:t>Template</w:t>
      </w:r>
      <w:r w:rsidR="009B58C9">
        <w:rPr>
          <w:rFonts w:ascii="Times New Roman" w:hAnsi="Times New Roman" w:cs="Times New Roman"/>
          <w:sz w:val="28"/>
          <w:szCs w:val="28"/>
        </w:rPr>
        <w:t xml:space="preserve"> – </w:t>
      </w:r>
      <w:r w:rsidR="00BB245F" w:rsidRPr="00D921B3">
        <w:rPr>
          <w:rFonts w:ascii="Times New Roman" w:hAnsi="Times New Roman" w:cs="Times New Roman"/>
          <w:b/>
          <w:bCs/>
          <w:sz w:val="28"/>
          <w:szCs w:val="28"/>
        </w:rPr>
        <w:t>Veteran’s Services</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7B6E280D" w14:textId="5B8582C4" w:rsidR="00BB245F" w:rsidRPr="00036AAB" w:rsidRDefault="00036AAB" w:rsidP="00D921B3">
            <w:pPr>
              <w:jc w:val="left"/>
              <w:rPr>
                <w:rFonts w:cstheme="minorHAnsi"/>
              </w:rPr>
            </w:pPr>
            <w:r w:rsidRPr="00036AAB">
              <w:rPr>
                <w:rFonts w:cstheme="minorHAnsi"/>
              </w:rPr>
              <w:t>LA SHAWN BRUMFIELD ,   JAMAR MEARS</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935853">
        <w:trPr>
          <w:trHeight w:val="1214"/>
        </w:trPr>
        <w:tc>
          <w:tcPr>
            <w:tcW w:w="9263" w:type="dxa"/>
          </w:tcPr>
          <w:p w14:paraId="740F0E68" w14:textId="69246AD1" w:rsidR="0028543B" w:rsidRPr="00D921B3" w:rsidRDefault="009A3550" w:rsidP="00FB4BBE">
            <w:pPr>
              <w:jc w:val="left"/>
              <w:rPr>
                <w:rFonts w:cstheme="minorHAnsi"/>
              </w:rPr>
            </w:pPr>
            <w:r w:rsidRPr="009A3550">
              <w:rPr>
                <w:rFonts w:cstheme="minorHAnsi"/>
              </w:rPr>
              <w:t xml:space="preserve">The Veterans </w:t>
            </w:r>
            <w:r w:rsidR="00036AAB">
              <w:rPr>
                <w:rFonts w:cstheme="minorHAnsi"/>
              </w:rPr>
              <w:t xml:space="preserve">Resource Center </w:t>
            </w:r>
            <w:r w:rsidRPr="009A3550">
              <w:rPr>
                <w:rFonts w:cstheme="minorHAnsi"/>
              </w:rPr>
              <w:t xml:space="preserve">Program provides </w:t>
            </w:r>
            <w:r w:rsidR="00FB4BBE">
              <w:rPr>
                <w:rFonts w:cstheme="minorHAnsi"/>
              </w:rPr>
              <w:t xml:space="preserve">Resources, supportive </w:t>
            </w:r>
            <w:r w:rsidR="00036AAB">
              <w:rPr>
                <w:rFonts w:cstheme="minorHAnsi"/>
              </w:rPr>
              <w:t xml:space="preserve">services &amp; </w:t>
            </w:r>
            <w:r w:rsidRPr="009A3550">
              <w:rPr>
                <w:rFonts w:cstheme="minorHAnsi"/>
              </w:rPr>
              <w:t>assistance to</w:t>
            </w:r>
            <w:r w:rsidR="00036AAB">
              <w:rPr>
                <w:rFonts w:cstheme="minorHAnsi"/>
              </w:rPr>
              <w:t xml:space="preserve"> veterans and their </w:t>
            </w:r>
            <w:r w:rsidR="00FB4BBE">
              <w:rPr>
                <w:rFonts w:cstheme="minorHAnsi"/>
              </w:rPr>
              <w:t xml:space="preserve">eligible </w:t>
            </w:r>
            <w:r w:rsidR="00FB4BBE" w:rsidRPr="009A3550">
              <w:rPr>
                <w:rFonts w:cstheme="minorHAnsi"/>
              </w:rPr>
              <w:t>Family</w:t>
            </w:r>
            <w:r w:rsidR="00036AAB">
              <w:rPr>
                <w:rFonts w:cstheme="minorHAnsi"/>
              </w:rPr>
              <w:t xml:space="preserve"> members in their pursuit towards a degree or certificate. Services</w:t>
            </w:r>
            <w:r w:rsidR="00FB4BBE">
              <w:rPr>
                <w:rFonts w:cstheme="minorHAnsi"/>
              </w:rPr>
              <w:t xml:space="preserve"> </w:t>
            </w:r>
            <w:r w:rsidR="00A46EF9">
              <w:rPr>
                <w:rFonts w:cstheme="minorHAnsi"/>
              </w:rPr>
              <w:t>provided to</w:t>
            </w:r>
            <w:r w:rsidR="00036AAB">
              <w:rPr>
                <w:rFonts w:cstheme="minorHAnsi"/>
              </w:rPr>
              <w:t xml:space="preserve"> veterans and eligible family members </w:t>
            </w:r>
            <w:r w:rsidR="00A46EF9">
              <w:rPr>
                <w:rFonts w:cstheme="minorHAnsi"/>
              </w:rPr>
              <w:t>in:</w:t>
            </w:r>
            <w:r w:rsidR="00FB4BBE">
              <w:rPr>
                <w:rFonts w:cstheme="minorHAnsi"/>
              </w:rPr>
              <w:t xml:space="preserve"> </w:t>
            </w:r>
            <w:r w:rsidR="00036AAB">
              <w:rPr>
                <w:rFonts w:cstheme="minorHAnsi"/>
              </w:rPr>
              <w:t xml:space="preserve">Academic / career counseling, </w:t>
            </w:r>
            <w:r w:rsidRPr="009A3550">
              <w:rPr>
                <w:rFonts w:cstheme="minorHAnsi"/>
              </w:rPr>
              <w:t>tutorial assistance,</w:t>
            </w:r>
            <w:r w:rsidR="00036AAB" w:rsidRPr="009A3550">
              <w:rPr>
                <w:rFonts w:cstheme="minorHAnsi"/>
              </w:rPr>
              <w:t xml:space="preserve"> referral service</w:t>
            </w:r>
            <w:r w:rsidR="00FB4BBE">
              <w:rPr>
                <w:rFonts w:cstheme="minorHAnsi"/>
              </w:rPr>
              <w:t>s</w:t>
            </w:r>
            <w:r w:rsidR="00036AAB" w:rsidRPr="009A3550">
              <w:rPr>
                <w:rFonts w:cstheme="minorHAnsi"/>
              </w:rPr>
              <w:t xml:space="preserve"> </w:t>
            </w:r>
            <w:r w:rsidR="00FB4BBE">
              <w:rPr>
                <w:rFonts w:cstheme="minorHAnsi"/>
              </w:rPr>
              <w:t xml:space="preserve">on/off campus </w:t>
            </w:r>
            <w:r w:rsidR="00A46EF9">
              <w:rPr>
                <w:rFonts w:cstheme="minorHAnsi"/>
              </w:rPr>
              <w:t xml:space="preserve">with </w:t>
            </w:r>
            <w:r w:rsidR="00A46EF9" w:rsidRPr="009A3550">
              <w:rPr>
                <w:rFonts w:cstheme="minorHAnsi"/>
              </w:rPr>
              <w:t>job</w:t>
            </w:r>
            <w:r w:rsidR="00FB4BBE">
              <w:rPr>
                <w:rFonts w:cstheme="minorHAnsi"/>
              </w:rPr>
              <w:t xml:space="preserve"> search, housing,</w:t>
            </w:r>
            <w:r w:rsidR="00036AAB">
              <w:rPr>
                <w:rFonts w:cstheme="minorHAnsi"/>
              </w:rPr>
              <w:t xml:space="preserve"> Mental health and Wellness</w:t>
            </w:r>
            <w:r w:rsidR="00FB4BBE">
              <w:rPr>
                <w:rFonts w:cstheme="minorHAnsi"/>
              </w:rPr>
              <w:t xml:space="preserve"> services and food.  </w:t>
            </w:r>
          </w:p>
        </w:tc>
      </w:tr>
    </w:tbl>
    <w:p w14:paraId="62958BD0" w14:textId="77777777" w:rsidR="00B54F62" w:rsidRPr="00D921B3" w:rsidRDefault="00B54F62" w:rsidP="00D921B3">
      <w:pPr>
        <w:jc w:val="left"/>
        <w:rPr>
          <w:rFonts w:cstheme="minorHAnsi"/>
        </w:rPr>
      </w:pPr>
    </w:p>
    <w:p w14:paraId="0F1D049A" w14:textId="77777777" w:rsidR="00BB245F" w:rsidRPr="00D921B3" w:rsidRDefault="00BB245F" w:rsidP="00D921B3">
      <w:pPr>
        <w:jc w:val="left"/>
        <w:rPr>
          <w:rFonts w:cstheme="minorHAnsi"/>
        </w:rPr>
      </w:pPr>
      <w:r w:rsidRPr="00D921B3">
        <w:rPr>
          <w:rFonts w:cstheme="minorHAnsi"/>
        </w:rPr>
        <w:t>List your program faculty and/or 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67464D8D" w14:textId="472E43FC" w:rsidR="00BB245F" w:rsidRDefault="00FB4BBE" w:rsidP="00D921B3">
            <w:pPr>
              <w:jc w:val="left"/>
              <w:rPr>
                <w:rFonts w:cstheme="minorHAnsi"/>
              </w:rPr>
            </w:pPr>
            <w:r>
              <w:rPr>
                <w:rFonts w:cstheme="minorHAnsi"/>
              </w:rPr>
              <w:t>La Shawn Brumfield – Coordinator / Certifying Official</w:t>
            </w:r>
          </w:p>
          <w:p w14:paraId="54F306D1" w14:textId="62982736" w:rsidR="00FB4BBE" w:rsidRDefault="00FB4BBE" w:rsidP="00D921B3">
            <w:pPr>
              <w:jc w:val="left"/>
              <w:rPr>
                <w:rFonts w:cstheme="minorHAnsi"/>
              </w:rPr>
            </w:pPr>
            <w:r>
              <w:rPr>
                <w:rFonts w:cstheme="minorHAnsi"/>
              </w:rPr>
              <w:t>Jamar Mears – Counselor</w:t>
            </w:r>
          </w:p>
          <w:p w14:paraId="2134E7C8" w14:textId="0B42EBA0" w:rsidR="00FB4BBE" w:rsidRPr="00D921B3" w:rsidRDefault="00FB4BBE" w:rsidP="00D921B3">
            <w:pPr>
              <w:jc w:val="left"/>
              <w:rPr>
                <w:rFonts w:cstheme="minorHAnsi"/>
              </w:rPr>
            </w:pPr>
            <w:r>
              <w:rPr>
                <w:rFonts w:cstheme="minorHAnsi"/>
              </w:rPr>
              <w:t>1 Student Worker</w:t>
            </w:r>
          </w:p>
          <w:p w14:paraId="75FC0A35" w14:textId="77777777" w:rsidR="00BB245F" w:rsidRPr="00D921B3" w:rsidRDefault="00BB245F" w:rsidP="00D921B3">
            <w:pPr>
              <w:jc w:val="left"/>
              <w:rPr>
                <w:rFonts w:cstheme="minorHAnsi"/>
              </w:rPr>
            </w:pP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D921B3" w14:paraId="55318C78" w14:textId="77777777" w:rsidTr="00935853">
        <w:trPr>
          <w:trHeight w:val="1053"/>
        </w:trPr>
        <w:tc>
          <w:tcPr>
            <w:tcW w:w="9028" w:type="dxa"/>
          </w:tcPr>
          <w:p w14:paraId="4F2E8220" w14:textId="77777777" w:rsidR="009A3550" w:rsidRPr="00254FCC" w:rsidRDefault="009A3550" w:rsidP="009A3550">
            <w:pPr>
              <w:pStyle w:val="Default"/>
              <w:rPr>
                <w:rFonts w:asciiTheme="minorHAnsi" w:hAnsiTheme="minorHAnsi" w:cstheme="minorHAnsi"/>
                <w:sz w:val="22"/>
                <w:szCs w:val="22"/>
              </w:rPr>
            </w:pPr>
            <w:r w:rsidRPr="00254FCC">
              <w:rPr>
                <w:rFonts w:asciiTheme="minorHAnsi" w:hAnsiTheme="minorHAnsi" w:cstheme="minorHAnsi"/>
                <w:sz w:val="22"/>
                <w:szCs w:val="22"/>
              </w:rPr>
              <w:t xml:space="preserve">Function - Alignment w/ College Mission </w:t>
            </w:r>
          </w:p>
          <w:p w14:paraId="09FD4AF7" w14:textId="4642F259" w:rsidR="00792684" w:rsidRPr="00D921B3" w:rsidRDefault="009A3550" w:rsidP="009A3550">
            <w:pPr>
              <w:jc w:val="left"/>
              <w:rPr>
                <w:rFonts w:cstheme="minorHAnsi"/>
              </w:rPr>
            </w:pPr>
            <w:r w:rsidRPr="00254FCC">
              <w:rPr>
                <w:rFonts w:cstheme="minorHAnsi"/>
                <w:b/>
                <w:bCs/>
              </w:rPr>
              <w:t xml:space="preserve">Counseling </w:t>
            </w:r>
            <w:r w:rsidRPr="00254FCC">
              <w:rPr>
                <w:rFonts w:cstheme="minorHAnsi"/>
              </w:rPr>
              <w:t xml:space="preserve">- Counseling provides healthy dialogue between student and counselor, which produces an education plan that will guide the student to accomplishing their educational goal. </w:t>
            </w:r>
            <w:r w:rsidRPr="00254FCC">
              <w:rPr>
                <w:rFonts w:cstheme="minorHAnsi"/>
                <w:b/>
                <w:bCs/>
              </w:rPr>
              <w:t xml:space="preserve">Certify </w:t>
            </w:r>
            <w:r w:rsidRPr="00254FCC">
              <w:rPr>
                <w:rFonts w:cstheme="minorHAnsi"/>
              </w:rPr>
              <w:t xml:space="preserve">- By certifying veterans &amp; dependents enrollment, this action provides monies to student that cover the bare and educational necessities for students to complete their program/degree. </w:t>
            </w:r>
            <w:r w:rsidRPr="00254FCC">
              <w:rPr>
                <w:rFonts w:cstheme="minorHAnsi"/>
                <w:b/>
                <w:bCs/>
              </w:rPr>
              <w:t xml:space="preserve">Resources &amp; Referrals - </w:t>
            </w:r>
            <w:r w:rsidRPr="00254FCC">
              <w:rPr>
                <w:rFonts w:cstheme="minorHAnsi"/>
              </w:rPr>
              <w:t>The services provided by the VRC empowers student by providing educational necessities and assist in the students maintaining their mental &amp; physical well-being</w:t>
            </w:r>
          </w:p>
        </w:tc>
      </w:tr>
    </w:tbl>
    <w:p w14:paraId="30E4D679" w14:textId="77777777" w:rsidR="00792684" w:rsidRPr="00D921B3" w:rsidRDefault="00792684" w:rsidP="00D921B3">
      <w:pPr>
        <w:jc w:val="left"/>
        <w:rPr>
          <w:rFonts w:cstheme="minorHAnsi"/>
        </w:rPr>
      </w:pPr>
    </w:p>
    <w:p w14:paraId="739B729B" w14:textId="6C5F40CB" w:rsidR="007A46E8" w:rsidRPr="00D921B3" w:rsidRDefault="00B11478" w:rsidP="00D921B3">
      <w:pPr>
        <w:jc w:val="left"/>
        <w:rPr>
          <w:rStyle w:val="Hyperlink"/>
          <w:rFonts w:cstheme="minorHAnsi"/>
        </w:rPr>
      </w:pPr>
      <w:r w:rsidRPr="00D921B3">
        <w:rPr>
          <w:rFonts w:cstheme="minorHAnsi"/>
        </w:rPr>
        <w:t>List your p</w:t>
      </w:r>
      <w:r w:rsidR="00425484" w:rsidRPr="00D921B3">
        <w:rPr>
          <w:rFonts w:cstheme="minorHAnsi"/>
        </w:rPr>
        <w:t xml:space="preserve">rogram </w:t>
      </w:r>
      <w:r w:rsidRPr="00D921B3">
        <w:rPr>
          <w:rFonts w:cstheme="minorHAnsi"/>
        </w:rPr>
        <w:t>g</w:t>
      </w:r>
      <w:r w:rsidR="00425484" w:rsidRPr="00D921B3">
        <w:rPr>
          <w:rFonts w:cstheme="minorHAnsi"/>
        </w:rPr>
        <w:t xml:space="preserve">oals from your most recent Program Review or APU. </w:t>
      </w:r>
      <w:r w:rsidR="007A46E8" w:rsidRPr="00D921B3">
        <w:rPr>
          <w:rFonts w:cstheme="minorHAnsi"/>
        </w:rPr>
        <w:t xml:space="preserve">Then, provide an update on the status of the goal. Has your program achieved </w:t>
      </w:r>
      <w:r w:rsidR="0082677E" w:rsidRPr="00D921B3">
        <w:rPr>
          <w:rFonts w:cstheme="minorHAnsi"/>
        </w:rPr>
        <w:t>the goal</w:t>
      </w:r>
      <w:r w:rsidR="007A46E8" w:rsidRPr="00D921B3">
        <w:rPr>
          <w:rFonts w:cstheme="minorHAnsi"/>
        </w:rPr>
        <w:t>?  Ha</w:t>
      </w:r>
      <w:r w:rsidR="0082677E" w:rsidRPr="00D921B3">
        <w:rPr>
          <w:rFonts w:cstheme="minorHAnsi"/>
        </w:rPr>
        <w:t>ve any of your goals</w:t>
      </w:r>
      <w:r w:rsidR="007A46E8" w:rsidRPr="00D921B3">
        <w:rPr>
          <w:rFonts w:cstheme="minorHAnsi"/>
        </w:rPr>
        <w:t xml:space="preserve"> been revised or </w:t>
      </w:r>
      <w:r w:rsidR="0082677E" w:rsidRPr="00D921B3">
        <w:rPr>
          <w:rFonts w:cstheme="minorHAnsi"/>
        </w:rPr>
        <w:t>any</w:t>
      </w:r>
      <w:r w:rsidR="007A46E8" w:rsidRPr="00D921B3">
        <w:rPr>
          <w:rFonts w:cstheme="minorHAnsi"/>
        </w:rPr>
        <w:t xml:space="preserve"> still in progress? </w:t>
      </w:r>
      <w:r w:rsidR="0082677E" w:rsidRPr="00D921B3">
        <w:rPr>
          <w:rFonts w:cstheme="minorHAnsi"/>
        </w:rPr>
        <w:t>Lastly, m</w:t>
      </w:r>
      <w:r w:rsidR="007A46E8" w:rsidRPr="00D921B3">
        <w:rPr>
          <w:rFonts w:cstheme="minorHAnsi"/>
        </w:rPr>
        <w:t>ake sure</w:t>
      </w:r>
      <w:r w:rsidR="0082677E" w:rsidRPr="00D921B3">
        <w:rPr>
          <w:rFonts w:cstheme="minorHAnsi"/>
        </w:rPr>
        <w:t xml:space="preserve"> to</w:t>
      </w:r>
      <w:r w:rsidR="007A46E8" w:rsidRPr="00D921B3">
        <w:rPr>
          <w:rFonts w:cstheme="minorHAnsi"/>
        </w:rPr>
        <w:t xml:space="preserve"> discuss which College or District goal your program goal aligns to</w:t>
      </w:r>
      <w:r w:rsidR="00D161B4" w:rsidRPr="00D921B3">
        <w:rPr>
          <w:rFonts w:cstheme="minorHAnsi"/>
        </w:rPr>
        <w:t xml:space="preserve">: </w:t>
      </w:r>
      <w:r w:rsidR="00BB245F" w:rsidRPr="00D921B3">
        <w:rPr>
          <w:rFonts w:cstheme="minorHAnsi"/>
        </w:rPr>
        <w:fldChar w:fldCharType="begin"/>
      </w:r>
      <w:r w:rsidR="00BB245F" w:rsidRPr="00D921B3">
        <w:rPr>
          <w:rFonts w:cstheme="minorHAnsi"/>
        </w:rPr>
        <w:instrText xml:space="preserve"> HYPERLINK "https://alameda.edu/wp-content/uploads/2021/12/Alignment-of-Goals-2022-Vision-for-Success-Peralta-Community-College-District-CoAs-Educational-Master-Plan.pdf" </w:instrText>
      </w:r>
      <w:r w:rsidR="00BB245F" w:rsidRPr="00D921B3">
        <w:rPr>
          <w:rFonts w:cstheme="minorHAnsi"/>
        </w:rPr>
      </w:r>
      <w:r w:rsidR="00BB245F" w:rsidRPr="00D921B3">
        <w:rPr>
          <w:rFonts w:cstheme="minorHAnsi"/>
        </w:rPr>
        <w:fldChar w:fldCharType="separate"/>
      </w:r>
      <w:r w:rsidR="00D161B4" w:rsidRPr="00D921B3">
        <w:rPr>
          <w:rStyle w:val="Hyperlink"/>
          <w:rFonts w:cstheme="minorHAnsi"/>
        </w:rPr>
        <w:t>Alignment of Goals</w:t>
      </w:r>
    </w:p>
    <w:p w14:paraId="27035E60" w14:textId="1D45AD73" w:rsidR="00D161B4" w:rsidRPr="00D921B3" w:rsidRDefault="00BB245F" w:rsidP="00D921B3">
      <w:pPr>
        <w:jc w:val="left"/>
        <w:rPr>
          <w:rFonts w:cstheme="minorHAnsi"/>
        </w:rPr>
      </w:pPr>
      <w:r w:rsidRPr="00D921B3">
        <w:rPr>
          <w:rFonts w:cstheme="minorHAnsi"/>
        </w:rPr>
        <w:lastRenderedPageBreak/>
        <w:fldChar w:fldCharType="end"/>
      </w:r>
      <w:r w:rsidR="007A46E8" w:rsidRPr="00D921B3">
        <w:rPr>
          <w:rFonts w:cstheme="minorHAnsi"/>
        </w:rPr>
        <w:t>If no program goals exist or if this is your first program review, create 2-</w:t>
      </w:r>
      <w:r w:rsidR="00A75707" w:rsidRPr="00D921B3">
        <w:rPr>
          <w:rFonts w:cstheme="minorHAnsi"/>
        </w:rPr>
        <w:t>3</w:t>
      </w:r>
      <w:r w:rsidR="007A46E8" w:rsidRPr="00D921B3">
        <w:rPr>
          <w:rFonts w:cstheme="minorHAnsi"/>
        </w:rPr>
        <w:t xml:space="preserve"> goals and align </w:t>
      </w:r>
      <w:r w:rsidR="0082677E" w:rsidRPr="00D921B3">
        <w:rPr>
          <w:rFonts w:cstheme="minorHAnsi"/>
        </w:rPr>
        <w:t xml:space="preserve">them </w:t>
      </w:r>
      <w:r w:rsidR="007A46E8" w:rsidRPr="00D921B3">
        <w:rPr>
          <w:rFonts w:cstheme="minorHAnsi"/>
        </w:rPr>
        <w:t xml:space="preserve">with a </w:t>
      </w:r>
      <w:proofErr w:type="gramStart"/>
      <w:r w:rsidR="007A46E8" w:rsidRPr="00D921B3">
        <w:rPr>
          <w:rFonts w:cstheme="minorHAnsi"/>
        </w:rPr>
        <w:t>College</w:t>
      </w:r>
      <w:proofErr w:type="gramEnd"/>
      <w:r w:rsidR="007A46E8" w:rsidRPr="00D921B3">
        <w:rPr>
          <w:rFonts w:cstheme="minorHAnsi"/>
        </w:rPr>
        <w:t xml:space="preserve"> or District goal. </w:t>
      </w:r>
    </w:p>
    <w:tbl>
      <w:tblPr>
        <w:tblStyle w:val="TableGrid2"/>
        <w:tblW w:w="9250" w:type="dxa"/>
        <w:tblLook w:val="04A0" w:firstRow="1" w:lastRow="0" w:firstColumn="1" w:lastColumn="0" w:noHBand="0" w:noVBand="1"/>
      </w:tblPr>
      <w:tblGrid>
        <w:gridCol w:w="3445"/>
        <w:gridCol w:w="5805"/>
      </w:tblGrid>
      <w:tr w:rsidR="009A3550" w:rsidRPr="00D921B3" w14:paraId="443849B3" w14:textId="77777777" w:rsidTr="00BB245F">
        <w:trPr>
          <w:trHeight w:val="464"/>
        </w:trPr>
        <w:tc>
          <w:tcPr>
            <w:tcW w:w="3445" w:type="dxa"/>
          </w:tcPr>
          <w:p w14:paraId="4F297B44" w14:textId="77777777" w:rsidR="009A3550" w:rsidRPr="00D921B3" w:rsidRDefault="009A3550" w:rsidP="009A3550">
            <w:pPr>
              <w:jc w:val="left"/>
              <w:rPr>
                <w:rFonts w:cstheme="minorHAnsi"/>
                <w:b/>
                <w:bCs/>
              </w:rPr>
            </w:pPr>
            <w:r w:rsidRPr="00D921B3">
              <w:rPr>
                <w:rFonts w:cstheme="minorHAnsi"/>
                <w:b/>
                <w:bCs/>
              </w:rPr>
              <w:t>Program Goal</w:t>
            </w:r>
          </w:p>
        </w:tc>
        <w:tc>
          <w:tcPr>
            <w:tcW w:w="5805" w:type="dxa"/>
          </w:tcPr>
          <w:p w14:paraId="6B375156" w14:textId="7A4B63C4" w:rsidR="009A3550" w:rsidRPr="00D921B3" w:rsidRDefault="009A3550" w:rsidP="009A3550">
            <w:pPr>
              <w:jc w:val="left"/>
              <w:rPr>
                <w:rFonts w:cstheme="minorHAnsi"/>
              </w:rPr>
            </w:pPr>
            <w:r>
              <w:t>Students will have a defined educational goal by the second semester of their enrollment.</w:t>
            </w:r>
          </w:p>
        </w:tc>
      </w:tr>
      <w:tr w:rsidR="009A3550" w:rsidRPr="00D921B3" w14:paraId="15881579" w14:textId="77777777" w:rsidTr="00BB245F">
        <w:trPr>
          <w:trHeight w:val="350"/>
        </w:trPr>
        <w:tc>
          <w:tcPr>
            <w:tcW w:w="3445" w:type="dxa"/>
          </w:tcPr>
          <w:p w14:paraId="3E7042CD" w14:textId="77777777" w:rsidR="009A3550" w:rsidRPr="00D921B3" w:rsidRDefault="009A3550" w:rsidP="009A3550">
            <w:pPr>
              <w:jc w:val="left"/>
              <w:rPr>
                <w:rFonts w:cstheme="minorHAnsi"/>
              </w:rPr>
            </w:pPr>
            <w:r w:rsidRPr="00D921B3">
              <w:rPr>
                <w:rFonts w:cstheme="minorHAnsi"/>
              </w:rPr>
              <w:t xml:space="preserve">Status: In-Progress or Complete?  </w:t>
            </w:r>
          </w:p>
        </w:tc>
        <w:tc>
          <w:tcPr>
            <w:tcW w:w="5805" w:type="dxa"/>
          </w:tcPr>
          <w:p w14:paraId="73BF8617" w14:textId="17AC902F" w:rsidR="009A3550" w:rsidRPr="00D921B3" w:rsidRDefault="004A38B8" w:rsidP="009A3550">
            <w:pPr>
              <w:jc w:val="left"/>
              <w:rPr>
                <w:rFonts w:cstheme="minorHAnsi"/>
              </w:rPr>
            </w:pPr>
            <w:r>
              <w:rPr>
                <w:rFonts w:cstheme="minorHAnsi"/>
              </w:rPr>
              <w:t>complete</w:t>
            </w:r>
          </w:p>
        </w:tc>
      </w:tr>
      <w:tr w:rsidR="009A3550" w:rsidRPr="00D921B3" w14:paraId="69403A08" w14:textId="77777777" w:rsidTr="00BB245F">
        <w:trPr>
          <w:trHeight w:val="797"/>
        </w:trPr>
        <w:tc>
          <w:tcPr>
            <w:tcW w:w="3445" w:type="dxa"/>
          </w:tcPr>
          <w:p w14:paraId="20AC72D7" w14:textId="77777777" w:rsidR="009A3550" w:rsidRPr="00D921B3" w:rsidRDefault="009A3550" w:rsidP="009A3550">
            <w:pPr>
              <w:jc w:val="left"/>
              <w:rPr>
                <w:rFonts w:cstheme="minorHAnsi"/>
              </w:rPr>
            </w:pPr>
            <w:r w:rsidRPr="00D921B3">
              <w:rPr>
                <w:rFonts w:cstheme="minorHAnsi"/>
              </w:rPr>
              <w:t>Which college or district goal is aligned with your program goal?</w:t>
            </w:r>
          </w:p>
          <w:p w14:paraId="12BE5835" w14:textId="77777777" w:rsidR="009A3550" w:rsidRPr="00D921B3" w:rsidRDefault="009A3550" w:rsidP="009A3550">
            <w:pPr>
              <w:jc w:val="left"/>
              <w:rPr>
                <w:rFonts w:cstheme="minorHAnsi"/>
              </w:rPr>
            </w:pPr>
          </w:p>
        </w:tc>
        <w:tc>
          <w:tcPr>
            <w:tcW w:w="5805" w:type="dxa"/>
          </w:tcPr>
          <w:p w14:paraId="2B4AA247" w14:textId="64D64B97" w:rsidR="009A3550" w:rsidRPr="00D921B3" w:rsidRDefault="00024751" w:rsidP="009A3550">
            <w:pPr>
              <w:jc w:val="left"/>
              <w:rPr>
                <w:rFonts w:cstheme="minorHAnsi"/>
              </w:rPr>
            </w:pPr>
            <w:r>
              <w:rPr>
                <w:rFonts w:cstheme="minorHAnsi"/>
              </w:rPr>
              <w:t>ILO Civic Responsibility</w:t>
            </w: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155788" w:rsidRPr="00D921B3" w14:paraId="7074BA0D" w14:textId="77777777" w:rsidTr="00BB245F">
        <w:trPr>
          <w:trHeight w:val="425"/>
        </w:trPr>
        <w:tc>
          <w:tcPr>
            <w:tcW w:w="3436" w:type="dxa"/>
          </w:tcPr>
          <w:p w14:paraId="64ABC1AB" w14:textId="77777777" w:rsidR="00155788" w:rsidRPr="00D921B3" w:rsidRDefault="00155788" w:rsidP="00D921B3">
            <w:pPr>
              <w:jc w:val="left"/>
              <w:rPr>
                <w:rFonts w:cstheme="minorHAnsi"/>
                <w:b/>
                <w:bCs/>
              </w:rPr>
            </w:pPr>
            <w:r w:rsidRPr="00D921B3">
              <w:rPr>
                <w:rFonts w:cstheme="minorHAnsi"/>
                <w:b/>
                <w:bCs/>
              </w:rPr>
              <w:t>Program Goal</w:t>
            </w:r>
          </w:p>
        </w:tc>
        <w:tc>
          <w:tcPr>
            <w:tcW w:w="5838" w:type="dxa"/>
          </w:tcPr>
          <w:p w14:paraId="0A9AD1F1" w14:textId="05EA0B84" w:rsidR="00155788" w:rsidRPr="00D921B3" w:rsidRDefault="00EA1AAA" w:rsidP="00D921B3">
            <w:pPr>
              <w:jc w:val="left"/>
              <w:rPr>
                <w:rFonts w:cstheme="minorHAnsi"/>
              </w:rPr>
            </w:pPr>
            <w:r>
              <w:rPr>
                <w:rFonts w:cstheme="minorHAnsi"/>
              </w:rPr>
              <w:t>Students will understand how to access their educational Benefits</w:t>
            </w:r>
          </w:p>
        </w:tc>
      </w:tr>
      <w:tr w:rsidR="00155788" w:rsidRPr="00D921B3" w14:paraId="01E5AEDD" w14:textId="77777777" w:rsidTr="00BB245F">
        <w:trPr>
          <w:trHeight w:val="297"/>
        </w:trPr>
        <w:tc>
          <w:tcPr>
            <w:tcW w:w="3436" w:type="dxa"/>
          </w:tcPr>
          <w:p w14:paraId="49128B12" w14:textId="77777777" w:rsidR="00155788" w:rsidRPr="00D921B3" w:rsidRDefault="00155788" w:rsidP="00D921B3">
            <w:pPr>
              <w:jc w:val="left"/>
              <w:rPr>
                <w:rFonts w:cstheme="minorHAnsi"/>
              </w:rPr>
            </w:pPr>
            <w:r w:rsidRPr="00D921B3">
              <w:rPr>
                <w:rFonts w:cstheme="minorHAnsi"/>
              </w:rPr>
              <w:t xml:space="preserve">Status: In-Progress or Complete?  </w:t>
            </w:r>
          </w:p>
        </w:tc>
        <w:tc>
          <w:tcPr>
            <w:tcW w:w="5838" w:type="dxa"/>
          </w:tcPr>
          <w:p w14:paraId="0F62E926" w14:textId="6EE50086" w:rsidR="00B06344" w:rsidRPr="00D921B3" w:rsidRDefault="00B06344" w:rsidP="00D921B3">
            <w:pPr>
              <w:jc w:val="left"/>
              <w:rPr>
                <w:rFonts w:cstheme="minorHAnsi"/>
              </w:rPr>
            </w:pPr>
          </w:p>
          <w:p w14:paraId="676DFF3D" w14:textId="3534E96C" w:rsidR="00155788" w:rsidRPr="00D921B3" w:rsidRDefault="004A38B8" w:rsidP="00D921B3">
            <w:pPr>
              <w:jc w:val="left"/>
              <w:rPr>
                <w:rFonts w:cstheme="minorHAnsi"/>
              </w:rPr>
            </w:pPr>
            <w:r>
              <w:rPr>
                <w:rFonts w:cstheme="minorHAnsi"/>
              </w:rPr>
              <w:t>complete</w:t>
            </w:r>
          </w:p>
        </w:tc>
      </w:tr>
      <w:tr w:rsidR="00155788" w:rsidRPr="00D921B3" w14:paraId="7E41DB41" w14:textId="77777777" w:rsidTr="00BB245F">
        <w:trPr>
          <w:trHeight w:val="728"/>
        </w:trPr>
        <w:tc>
          <w:tcPr>
            <w:tcW w:w="3436" w:type="dxa"/>
          </w:tcPr>
          <w:p w14:paraId="2ADF7BA7" w14:textId="55C0889A" w:rsidR="00155788" w:rsidRPr="00D921B3" w:rsidRDefault="00155788" w:rsidP="00D921B3">
            <w:pPr>
              <w:jc w:val="left"/>
              <w:rPr>
                <w:rFonts w:cstheme="minorHAnsi"/>
              </w:rPr>
            </w:pPr>
            <w:r w:rsidRPr="00D921B3">
              <w:rPr>
                <w:rFonts w:cstheme="minorHAnsi"/>
              </w:rPr>
              <w:t>Which college or district goal is aligned with your program goal</w:t>
            </w:r>
            <w:r w:rsidR="00BB245F" w:rsidRPr="00D921B3">
              <w:rPr>
                <w:rFonts w:cstheme="minorHAnsi"/>
              </w:rPr>
              <w:t>?</w:t>
            </w:r>
          </w:p>
        </w:tc>
        <w:tc>
          <w:tcPr>
            <w:tcW w:w="5838" w:type="dxa"/>
          </w:tcPr>
          <w:p w14:paraId="5A976D1D" w14:textId="5CF5B7B6" w:rsidR="00D161B4" w:rsidRPr="00D921B3" w:rsidRDefault="00EA1AAA" w:rsidP="00D921B3">
            <w:pPr>
              <w:jc w:val="left"/>
              <w:rPr>
                <w:rFonts w:cstheme="minorHAnsi"/>
              </w:rPr>
            </w:pPr>
            <w:r>
              <w:rPr>
                <w:rFonts w:cstheme="minorHAnsi"/>
              </w:rPr>
              <w:t>ILO:  Problem Solving and Decision Making</w:t>
            </w:r>
          </w:p>
        </w:tc>
      </w:tr>
    </w:tbl>
    <w:p w14:paraId="75CB872A" w14:textId="77777777" w:rsidR="00CA17E0" w:rsidRPr="00D921B3" w:rsidRDefault="00CA17E0" w:rsidP="00D921B3">
      <w:pPr>
        <w:jc w:val="left"/>
        <w:rPr>
          <w:rFonts w:cstheme="minorHAnsi"/>
        </w:rPr>
      </w:pPr>
    </w:p>
    <w:p w14:paraId="2089CC01" w14:textId="3B8879C4" w:rsidR="00CA17E0" w:rsidRPr="00D921B3" w:rsidRDefault="00792684" w:rsidP="00792684">
      <w:pPr>
        <w:jc w:val="center"/>
        <w:rPr>
          <w:rFonts w:cstheme="minorHAnsi"/>
        </w:rPr>
      </w:pPr>
      <w:r>
        <w:rPr>
          <w:rFonts w:cstheme="minorHAnsi"/>
          <w:noProof/>
        </w:rPr>
        <w:drawing>
          <wp:inline distT="0" distB="0" distL="0" distR="0" wp14:anchorId="7DB4298B" wp14:editId="57BBB3F0">
            <wp:extent cx="4937760" cy="3242778"/>
            <wp:effectExtent l="19050" t="19050" r="15240" b="1524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4868" cy="3260581"/>
                    </a:xfrm>
                    <a:prstGeom prst="rect">
                      <a:avLst/>
                    </a:prstGeom>
                    <a:ln w="3175">
                      <a:solidFill>
                        <a:schemeClr val="tx1"/>
                      </a:solidFill>
                    </a:ln>
                  </pic:spPr>
                </pic:pic>
              </a:graphicData>
            </a:graphic>
          </wp:inline>
        </w:drawing>
      </w:r>
    </w:p>
    <w:p w14:paraId="2C7A354A" w14:textId="1E1E3119" w:rsidR="007F0672" w:rsidRDefault="00000000" w:rsidP="007A7232">
      <w:pPr>
        <w:jc w:val="center"/>
        <w:rPr>
          <w:rStyle w:val="Hyperlink"/>
          <w:rFonts w:cstheme="minorHAnsi"/>
          <w:b/>
          <w:bCs/>
          <w:color w:val="FF0000"/>
        </w:rPr>
      </w:pPr>
      <w:hyperlink r:id="rId10" w:history="1">
        <w:r w:rsidR="007F0672" w:rsidRPr="00D921B3">
          <w:rPr>
            <w:rStyle w:val="Hyperlink"/>
            <w:rFonts w:cstheme="minorHAnsi"/>
            <w:b/>
            <w:bCs/>
            <w:color w:val="FF0000"/>
          </w:rPr>
          <w:t>Demographics dashboard link</w:t>
        </w:r>
      </w:hyperlink>
    </w:p>
    <w:p w14:paraId="074E59A3" w14:textId="63D1759D" w:rsidR="00EA2D40" w:rsidRDefault="00EA2D40" w:rsidP="007A7232">
      <w:pPr>
        <w:jc w:val="center"/>
        <w:rPr>
          <w:rStyle w:val="Hyperlink"/>
          <w:rFonts w:cstheme="minorHAnsi"/>
          <w:b/>
          <w:bCs/>
          <w:color w:val="FF0000"/>
        </w:rPr>
      </w:pPr>
    </w:p>
    <w:p w14:paraId="2EF637F5" w14:textId="77777777" w:rsidR="00EA2D40" w:rsidRDefault="00EA2D40" w:rsidP="00EA2D40">
      <w:pPr>
        <w:jc w:val="left"/>
        <w:rPr>
          <w:rFonts w:cstheme="minorHAnsi"/>
          <w:bCs/>
        </w:rPr>
      </w:pPr>
      <w:r>
        <w:rPr>
          <w:rFonts w:cstheme="minorHAnsi"/>
          <w:bCs/>
        </w:rPr>
        <w:t xml:space="preserve">Do </w:t>
      </w:r>
      <w:r w:rsidRPr="00B87C0A">
        <w:rPr>
          <w:rFonts w:cstheme="minorHAnsi"/>
          <w:bCs/>
        </w:rPr>
        <w:t xml:space="preserve">the students served by </w:t>
      </w:r>
      <w:r>
        <w:rPr>
          <w:rFonts w:cstheme="minorHAnsi"/>
          <w:bCs/>
        </w:rPr>
        <w:t>your</w:t>
      </w:r>
      <w:r w:rsidRPr="00B87C0A">
        <w:rPr>
          <w:rFonts w:cstheme="minorHAnsi"/>
          <w:bCs/>
        </w:rPr>
        <w:t xml:space="preserve"> service area differ from the College's overall student population?  </w:t>
      </w:r>
      <w:r>
        <w:rPr>
          <w:rFonts w:cstheme="minorHAnsi"/>
          <w:bCs/>
        </w:rPr>
        <w:t xml:space="preserve">If so, elaborate on how the service area is identifying and addressing the needs of the student population </w:t>
      </w:r>
    </w:p>
    <w:tbl>
      <w:tblPr>
        <w:tblStyle w:val="TableGrid"/>
        <w:tblW w:w="0" w:type="auto"/>
        <w:tblLook w:val="04A0" w:firstRow="1" w:lastRow="0" w:firstColumn="1" w:lastColumn="0" w:noHBand="0" w:noVBand="1"/>
      </w:tblPr>
      <w:tblGrid>
        <w:gridCol w:w="9350"/>
      </w:tblGrid>
      <w:tr w:rsidR="00EA2D40" w14:paraId="3F9BA2F6" w14:textId="77777777" w:rsidTr="0048459B">
        <w:tc>
          <w:tcPr>
            <w:tcW w:w="9350" w:type="dxa"/>
          </w:tcPr>
          <w:p w14:paraId="36CD7FDB" w14:textId="4F505F10" w:rsidR="00EA2D40" w:rsidRDefault="00E244FC" w:rsidP="0048459B">
            <w:pPr>
              <w:jc w:val="left"/>
              <w:rPr>
                <w:rFonts w:cstheme="minorHAnsi"/>
                <w:bCs/>
              </w:rPr>
            </w:pPr>
            <w:r>
              <w:rPr>
                <w:rFonts w:cstheme="minorHAnsi"/>
                <w:bCs/>
              </w:rPr>
              <w:t xml:space="preserve">The Veteran population need </w:t>
            </w:r>
            <w:r w:rsidR="00141D4C">
              <w:rPr>
                <w:rFonts w:cstheme="minorHAnsi"/>
                <w:bCs/>
              </w:rPr>
              <w:t>all the basic needs</w:t>
            </w:r>
            <w:r>
              <w:rPr>
                <w:rFonts w:cstheme="minorHAnsi"/>
                <w:bCs/>
              </w:rPr>
              <w:t xml:space="preserve"> (with a greater need for  Mental Health Services)</w:t>
            </w:r>
            <w:r w:rsidR="00141D4C">
              <w:rPr>
                <w:rFonts w:cstheme="minorHAnsi"/>
                <w:bCs/>
              </w:rPr>
              <w:t xml:space="preserve"> </w:t>
            </w:r>
            <w:r>
              <w:rPr>
                <w:rFonts w:cstheme="minorHAnsi"/>
                <w:bCs/>
              </w:rPr>
              <w:t xml:space="preserve"> as </w:t>
            </w:r>
            <w:r w:rsidR="00141D4C">
              <w:rPr>
                <w:rFonts w:cstheme="minorHAnsi"/>
                <w:bCs/>
              </w:rPr>
              <w:t xml:space="preserve"> the overall population at CoA, the difference outside of financial aid for those you draw from the Pell </w:t>
            </w:r>
            <w:r w:rsidR="00141D4C">
              <w:rPr>
                <w:rFonts w:cstheme="minorHAnsi"/>
                <w:bCs/>
              </w:rPr>
              <w:lastRenderedPageBreak/>
              <w:t>Grant is that they also are eligible</w:t>
            </w:r>
            <w:r>
              <w:rPr>
                <w:rFonts w:cstheme="minorHAnsi"/>
                <w:bCs/>
              </w:rPr>
              <w:t xml:space="preserve"> for Veterans benefits (financial) and we connect them to those services by partnering with the Veterans Administration.</w:t>
            </w:r>
          </w:p>
          <w:p w14:paraId="04AEC3D6" w14:textId="77777777" w:rsidR="00EA2D40" w:rsidRDefault="00EA2D40" w:rsidP="0048459B">
            <w:pPr>
              <w:jc w:val="left"/>
              <w:rPr>
                <w:rFonts w:cstheme="minorHAnsi"/>
                <w:bCs/>
              </w:rPr>
            </w:pPr>
          </w:p>
        </w:tc>
      </w:tr>
    </w:tbl>
    <w:p w14:paraId="50C79660" w14:textId="77777777" w:rsidR="00EA2D40" w:rsidRDefault="00EA2D40" w:rsidP="00EA2D40">
      <w:pPr>
        <w:jc w:val="left"/>
        <w:rPr>
          <w:rFonts w:cstheme="minorHAnsi"/>
          <w:bCs/>
        </w:rPr>
      </w:pPr>
    </w:p>
    <w:p w14:paraId="13E0C701" w14:textId="77777777" w:rsidR="00EA2D40" w:rsidRDefault="00EA2D40" w:rsidP="00EA2D40">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EA2D40" w14:paraId="61283A6D" w14:textId="77777777" w:rsidTr="0048459B">
        <w:tc>
          <w:tcPr>
            <w:tcW w:w="9350" w:type="dxa"/>
          </w:tcPr>
          <w:p w14:paraId="61C517A0" w14:textId="5B7672E4" w:rsidR="00EA2D40" w:rsidRDefault="00355F96" w:rsidP="00A627C0">
            <w:pPr>
              <w:jc w:val="left"/>
              <w:rPr>
                <w:rFonts w:cstheme="minorHAnsi"/>
                <w:bCs/>
              </w:rPr>
            </w:pPr>
            <w:r>
              <w:rPr>
                <w:rFonts w:cstheme="minorHAnsi"/>
                <w:bCs/>
              </w:rPr>
              <w:t>Pacific Islander</w:t>
            </w:r>
            <w:r w:rsidR="00A627C0">
              <w:rPr>
                <w:rFonts w:cstheme="minorHAnsi"/>
                <w:bCs/>
              </w:rPr>
              <w:t>, Female</w:t>
            </w:r>
          </w:p>
        </w:tc>
      </w:tr>
    </w:tbl>
    <w:p w14:paraId="7599F919" w14:textId="77777777" w:rsidR="00EA2D40" w:rsidRDefault="00EA2D40" w:rsidP="007A7232">
      <w:pPr>
        <w:jc w:val="center"/>
        <w:rPr>
          <w:rStyle w:val="Hyperlink"/>
          <w:rFonts w:cstheme="minorHAnsi"/>
          <w:b/>
          <w:bCs/>
          <w:color w:val="FF0000"/>
        </w:rPr>
      </w:pPr>
    </w:p>
    <w:p w14:paraId="008BC4DA" w14:textId="77777777" w:rsidR="00EA2D40" w:rsidRPr="00E075A0" w:rsidRDefault="00EA2D40" w:rsidP="0048459B">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0D0B81BE" w14:textId="77777777" w:rsidR="00EA2D40" w:rsidRPr="00E075A0" w:rsidRDefault="00EA2D40" w:rsidP="00EA2D4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r>
        <w:rPr>
          <w:rFonts w:asciiTheme="minorHAnsi" w:hAnsiTheme="minorHAnsi" w:cstheme="minorHAnsi"/>
          <w:bCs/>
        </w:rPr>
        <w:t xml:space="preserve"> </w:t>
      </w:r>
      <w:r w:rsidRPr="00B87C0A">
        <w:rPr>
          <w:rFonts w:asciiTheme="minorHAnsi" w:hAnsiTheme="minorHAnsi" w:cstheme="minorHAnsi"/>
          <w:bCs/>
        </w:rPr>
        <w:t>Consider implications for outreach, marketing, and/or communication, for example.</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6EDF61CD" w14:textId="57E1BCB3" w:rsidR="00D3466D" w:rsidRDefault="00D3466D" w:rsidP="00E075A0">
            <w:pPr>
              <w:jc w:val="left"/>
              <w:rPr>
                <w:rFonts w:cstheme="minorHAnsi"/>
                <w:bCs/>
              </w:rPr>
            </w:pPr>
            <w:r>
              <w:rPr>
                <w:rFonts w:cstheme="minorHAnsi"/>
                <w:bCs/>
              </w:rPr>
              <w:t>Covid – 19 has impacted the VRC  services greatly and this is how the VRC Staff supported students:</w:t>
            </w:r>
          </w:p>
          <w:p w14:paraId="3701EFCF" w14:textId="77777777" w:rsidR="00D3466D" w:rsidRDefault="00D3466D" w:rsidP="00E075A0">
            <w:pPr>
              <w:jc w:val="left"/>
              <w:rPr>
                <w:rFonts w:cstheme="minorHAnsi"/>
                <w:bCs/>
              </w:rPr>
            </w:pPr>
          </w:p>
          <w:p w14:paraId="321184D4" w14:textId="4E342D95" w:rsidR="009914A6" w:rsidRDefault="00D3466D" w:rsidP="00E075A0">
            <w:pPr>
              <w:jc w:val="left"/>
              <w:rPr>
                <w:rFonts w:cstheme="minorHAnsi"/>
                <w:bCs/>
              </w:rPr>
            </w:pPr>
            <w:r w:rsidRPr="0028374C">
              <w:rPr>
                <w:rFonts w:cstheme="minorHAnsi"/>
                <w:b/>
                <w:bCs/>
              </w:rPr>
              <w:t>Impact</w:t>
            </w:r>
            <w:r>
              <w:rPr>
                <w:rFonts w:cstheme="minorHAnsi"/>
                <w:bCs/>
              </w:rPr>
              <w:t>: The</w:t>
            </w:r>
            <w:r w:rsidR="00DA5A2A">
              <w:rPr>
                <w:rFonts w:cstheme="minorHAnsi"/>
                <w:bCs/>
              </w:rPr>
              <w:t xml:space="preserve"> “orientation process</w:t>
            </w:r>
            <w:r>
              <w:rPr>
                <w:rFonts w:cstheme="minorHAnsi"/>
                <w:bCs/>
              </w:rPr>
              <w:t xml:space="preserve">, counseling, </w:t>
            </w:r>
            <w:r w:rsidR="00DA5A2A">
              <w:rPr>
                <w:rFonts w:cstheme="minorHAnsi"/>
                <w:bCs/>
              </w:rPr>
              <w:t>intake process (new students)</w:t>
            </w:r>
            <w:r>
              <w:rPr>
                <w:rFonts w:cstheme="minorHAnsi"/>
                <w:bCs/>
              </w:rPr>
              <w:t xml:space="preserve"> &amp; supportive </w:t>
            </w:r>
            <w:r w:rsidR="009914A6">
              <w:rPr>
                <w:rFonts w:cstheme="minorHAnsi"/>
                <w:bCs/>
              </w:rPr>
              <w:t>supplies. The utilization</w:t>
            </w:r>
            <w:r>
              <w:rPr>
                <w:rFonts w:cstheme="minorHAnsi"/>
                <w:bCs/>
              </w:rPr>
              <w:t xml:space="preserve"> of</w:t>
            </w:r>
            <w:r w:rsidR="009914A6">
              <w:rPr>
                <w:rFonts w:cstheme="minorHAnsi"/>
                <w:bCs/>
              </w:rPr>
              <w:t xml:space="preserve">, zoom, phone, email &amp; tabling (supplies) to connect students with services, </w:t>
            </w:r>
            <w:proofErr w:type="gramStart"/>
            <w:r w:rsidR="009914A6">
              <w:rPr>
                <w:rFonts w:cstheme="minorHAnsi"/>
                <w:bCs/>
              </w:rPr>
              <w:t>goods  and</w:t>
            </w:r>
            <w:proofErr w:type="gramEnd"/>
            <w:r w:rsidR="009914A6">
              <w:rPr>
                <w:rFonts w:cstheme="minorHAnsi"/>
                <w:bCs/>
              </w:rPr>
              <w:t xml:space="preserve"> support.  </w:t>
            </w:r>
          </w:p>
          <w:p w14:paraId="36D7BD55" w14:textId="77777777" w:rsidR="009914A6" w:rsidRDefault="009914A6" w:rsidP="00E075A0">
            <w:pPr>
              <w:jc w:val="left"/>
              <w:rPr>
                <w:rFonts w:cstheme="minorHAnsi"/>
                <w:bCs/>
              </w:rPr>
            </w:pPr>
          </w:p>
          <w:p w14:paraId="48196868" w14:textId="5CCBEE10" w:rsidR="00E075A0" w:rsidRDefault="009914A6" w:rsidP="0028374C">
            <w:pPr>
              <w:jc w:val="left"/>
              <w:rPr>
                <w:rFonts w:cstheme="minorHAnsi"/>
                <w:bCs/>
              </w:rPr>
            </w:pPr>
            <w:r>
              <w:rPr>
                <w:rFonts w:cstheme="minorHAnsi"/>
                <w:bCs/>
              </w:rPr>
              <w:t xml:space="preserve">As a </w:t>
            </w:r>
            <w:proofErr w:type="gramStart"/>
            <w:r>
              <w:rPr>
                <w:rFonts w:cstheme="minorHAnsi"/>
                <w:bCs/>
              </w:rPr>
              <w:t xml:space="preserve">result, </w:t>
            </w:r>
            <w:r w:rsidR="0028374C">
              <w:rPr>
                <w:rFonts w:cstheme="minorHAnsi"/>
                <w:bCs/>
              </w:rPr>
              <w:t xml:space="preserve"> </w:t>
            </w:r>
            <w:r w:rsidR="00F748BE">
              <w:rPr>
                <w:rFonts w:cstheme="minorHAnsi"/>
                <w:bCs/>
              </w:rPr>
              <w:t>More</w:t>
            </w:r>
            <w:proofErr w:type="gramEnd"/>
            <w:r w:rsidR="00F748BE">
              <w:rPr>
                <w:rFonts w:cstheme="minorHAnsi"/>
                <w:bCs/>
              </w:rPr>
              <w:t xml:space="preserve"> academic supplies</w:t>
            </w:r>
            <w:r>
              <w:rPr>
                <w:rFonts w:cstheme="minorHAnsi"/>
                <w:bCs/>
              </w:rPr>
              <w:t xml:space="preserve"> (i.e.… Supplies</w:t>
            </w:r>
            <w:r w:rsidR="00F748BE">
              <w:rPr>
                <w:rFonts w:cstheme="minorHAnsi"/>
                <w:bCs/>
              </w:rPr>
              <w:t xml:space="preserve"> packs to include, calculators, pencils, pens, paper, highlighters</w:t>
            </w:r>
            <w:r>
              <w:rPr>
                <w:rFonts w:cstheme="minorHAnsi"/>
                <w:bCs/>
              </w:rPr>
              <w:t>, etc...) and l</w:t>
            </w:r>
            <w:r w:rsidR="00F748BE">
              <w:rPr>
                <w:rFonts w:cstheme="minorHAnsi"/>
                <w:bCs/>
              </w:rPr>
              <w:t>aptops</w:t>
            </w:r>
            <w:r w:rsidR="00DA5A2A">
              <w:rPr>
                <w:rFonts w:cstheme="minorHAnsi"/>
                <w:bCs/>
              </w:rPr>
              <w:t xml:space="preserve"> </w:t>
            </w:r>
            <w:r w:rsidR="00D3466D">
              <w:rPr>
                <w:rFonts w:cstheme="minorHAnsi"/>
                <w:bCs/>
              </w:rPr>
              <w:t>were purchased</w:t>
            </w:r>
            <w:r w:rsidR="00DA5A2A">
              <w:rPr>
                <w:rFonts w:cstheme="minorHAnsi"/>
                <w:bCs/>
              </w:rPr>
              <w:t xml:space="preserve"> to </w:t>
            </w:r>
            <w:r w:rsidR="009E4D40">
              <w:rPr>
                <w:rFonts w:cstheme="minorHAnsi"/>
                <w:bCs/>
              </w:rPr>
              <w:t>support veterans who had online courses.</w:t>
            </w:r>
            <w:r>
              <w:rPr>
                <w:rFonts w:cstheme="minorHAnsi"/>
                <w:bCs/>
              </w:rPr>
              <w:t xml:space="preserve"> </w:t>
            </w:r>
          </w:p>
        </w:tc>
      </w:tr>
    </w:tbl>
    <w:p w14:paraId="7270BD95" w14:textId="77777777" w:rsidR="00EA2D40" w:rsidRDefault="00EA2D40" w:rsidP="00D921B3">
      <w:pPr>
        <w:jc w:val="left"/>
        <w:rPr>
          <w:rFonts w:cstheme="minorHAnsi"/>
          <w:b/>
          <w:u w:val="single"/>
        </w:rPr>
      </w:pPr>
    </w:p>
    <w:p w14:paraId="144A7CEA" w14:textId="193DC9BB" w:rsidR="00366642" w:rsidRPr="00D921B3" w:rsidRDefault="00A603DE" w:rsidP="00D921B3">
      <w:pPr>
        <w:jc w:val="left"/>
        <w:rPr>
          <w:rFonts w:cstheme="minorHAnsi"/>
          <w:b/>
          <w:u w:val="single"/>
        </w:rPr>
      </w:pPr>
      <w:r w:rsidRPr="00D921B3">
        <w:rPr>
          <w:rFonts w:cstheme="minorHAnsi"/>
          <w:b/>
          <w:u w:val="single"/>
        </w:rPr>
        <w:t>Data Analysis</w:t>
      </w:r>
    </w:p>
    <w:p w14:paraId="05AD3585" w14:textId="1EA0A79A" w:rsidR="00A603DE" w:rsidRPr="00D921B3" w:rsidRDefault="00A603DE" w:rsidP="00D921B3">
      <w:pPr>
        <w:jc w:val="left"/>
        <w:rPr>
          <w:rFonts w:cstheme="minorHAnsi"/>
        </w:rPr>
      </w:pPr>
      <w:r w:rsidRPr="00D921B3">
        <w:rPr>
          <w:rFonts w:cstheme="minorHAnsi"/>
        </w:rPr>
        <w:t>Consider your program’s course completion rates over the past three to five years (% of student who earned a grade of "C" or better).</w:t>
      </w:r>
    </w:p>
    <w:p w14:paraId="2CFD2393" w14:textId="50EAFD2A" w:rsidR="00A603DE" w:rsidRDefault="00A603DE" w:rsidP="00D921B3">
      <w:pPr>
        <w:jc w:val="left"/>
        <w:rPr>
          <w:rFonts w:cstheme="minorHAnsi"/>
        </w:rPr>
      </w:pPr>
      <w:r w:rsidRPr="00D921B3">
        <w:rPr>
          <w:rFonts w:cstheme="minorHAnsi"/>
        </w:rPr>
        <w:t xml:space="preserve">How do the course completion rates for your program or discipline compare to your college's </w:t>
      </w:r>
      <w:r w:rsidR="007B0D49" w:rsidRPr="00D921B3">
        <w:rPr>
          <w:rFonts w:cstheme="minorHAnsi"/>
        </w:rPr>
        <w:t>College</w:t>
      </w:r>
      <w:r w:rsidRPr="00D921B3">
        <w:rPr>
          <w:rFonts w:cstheme="minorHAnsi"/>
        </w:rPr>
        <w:t xml:space="preserve">-Set Standard for course completion of </w:t>
      </w:r>
      <w:r w:rsidRPr="00D921B3">
        <w:rPr>
          <w:rFonts w:cstheme="minorHAnsi"/>
          <w:b/>
          <w:bCs/>
        </w:rPr>
        <w:t>67%</w:t>
      </w:r>
      <w:r w:rsidRPr="00D921B3">
        <w:rPr>
          <w:rFonts w:cstheme="minorHAnsi"/>
        </w:rPr>
        <w:t>?</w:t>
      </w:r>
    </w:p>
    <w:p w14:paraId="61FF23F9" w14:textId="141400FE" w:rsidR="00EA2D40" w:rsidRDefault="00EA2D40" w:rsidP="00D921B3">
      <w:pPr>
        <w:jc w:val="left"/>
        <w:rPr>
          <w:rFonts w:cstheme="minorHAnsi"/>
        </w:rPr>
      </w:pPr>
    </w:p>
    <w:tbl>
      <w:tblPr>
        <w:tblStyle w:val="TableGrid"/>
        <w:tblW w:w="9490" w:type="dxa"/>
        <w:jc w:val="center"/>
        <w:tblLayout w:type="fixed"/>
        <w:tblLook w:val="04A0" w:firstRow="1" w:lastRow="0" w:firstColumn="1" w:lastColumn="0" w:noHBand="0" w:noVBand="1"/>
      </w:tblPr>
      <w:tblGrid>
        <w:gridCol w:w="1030"/>
        <w:gridCol w:w="1064"/>
        <w:gridCol w:w="2374"/>
        <w:gridCol w:w="1187"/>
        <w:gridCol w:w="1313"/>
        <w:gridCol w:w="1244"/>
        <w:gridCol w:w="1278"/>
      </w:tblGrid>
      <w:tr w:rsidR="00EA2D40" w:rsidRPr="00EA2D40" w14:paraId="19EA1936" w14:textId="77777777" w:rsidTr="00EA2D40">
        <w:trPr>
          <w:trHeight w:val="237"/>
          <w:jc w:val="center"/>
        </w:trPr>
        <w:tc>
          <w:tcPr>
            <w:tcW w:w="1030" w:type="dxa"/>
            <w:noWrap/>
            <w:vAlign w:val="center"/>
            <w:hideMark/>
          </w:tcPr>
          <w:p w14:paraId="656B4DC0" w14:textId="77777777" w:rsidR="00EA2D40" w:rsidRPr="00EA2D40" w:rsidRDefault="00EA2D40" w:rsidP="00EA2D40">
            <w:pPr>
              <w:jc w:val="center"/>
              <w:rPr>
                <w:rFonts w:cstheme="minorHAnsi"/>
                <w:sz w:val="20"/>
                <w:szCs w:val="20"/>
              </w:rPr>
            </w:pPr>
            <w:r w:rsidRPr="00EA2D40">
              <w:rPr>
                <w:rFonts w:cstheme="minorHAnsi"/>
                <w:sz w:val="20"/>
                <w:szCs w:val="20"/>
              </w:rPr>
              <w:t>College</w:t>
            </w:r>
          </w:p>
        </w:tc>
        <w:tc>
          <w:tcPr>
            <w:tcW w:w="1064" w:type="dxa"/>
            <w:noWrap/>
            <w:vAlign w:val="center"/>
            <w:hideMark/>
          </w:tcPr>
          <w:p w14:paraId="6092ACF8" w14:textId="77777777" w:rsidR="00EA2D40" w:rsidRPr="00EA2D40" w:rsidRDefault="00EA2D40" w:rsidP="00EA2D40">
            <w:pPr>
              <w:jc w:val="center"/>
              <w:rPr>
                <w:rFonts w:cstheme="minorHAnsi"/>
                <w:sz w:val="20"/>
                <w:szCs w:val="20"/>
              </w:rPr>
            </w:pPr>
            <w:r w:rsidRPr="00EA2D40">
              <w:rPr>
                <w:rFonts w:cstheme="minorHAnsi"/>
                <w:sz w:val="20"/>
                <w:szCs w:val="20"/>
              </w:rPr>
              <w:t>Academic Year</w:t>
            </w:r>
          </w:p>
        </w:tc>
        <w:tc>
          <w:tcPr>
            <w:tcW w:w="2374" w:type="dxa"/>
            <w:noWrap/>
            <w:vAlign w:val="center"/>
            <w:hideMark/>
          </w:tcPr>
          <w:p w14:paraId="76028759" w14:textId="77777777" w:rsidR="00EA2D40" w:rsidRPr="00EA2D40" w:rsidRDefault="00EA2D40" w:rsidP="00EA2D40">
            <w:pPr>
              <w:jc w:val="center"/>
              <w:rPr>
                <w:rFonts w:cstheme="minorHAnsi"/>
                <w:sz w:val="20"/>
                <w:szCs w:val="20"/>
              </w:rPr>
            </w:pPr>
            <w:r w:rsidRPr="00EA2D40">
              <w:rPr>
                <w:rFonts w:cstheme="minorHAnsi"/>
                <w:sz w:val="20"/>
                <w:szCs w:val="20"/>
              </w:rPr>
              <w:t>Cohort</w:t>
            </w:r>
          </w:p>
        </w:tc>
        <w:tc>
          <w:tcPr>
            <w:tcW w:w="1187" w:type="dxa"/>
            <w:noWrap/>
            <w:vAlign w:val="center"/>
            <w:hideMark/>
          </w:tcPr>
          <w:p w14:paraId="5A0F58B1" w14:textId="77777777" w:rsidR="00EA2D40" w:rsidRPr="00EA2D40" w:rsidRDefault="00EA2D40" w:rsidP="00EA2D40">
            <w:pPr>
              <w:jc w:val="center"/>
              <w:rPr>
                <w:rFonts w:cstheme="minorHAnsi"/>
                <w:sz w:val="20"/>
                <w:szCs w:val="20"/>
              </w:rPr>
            </w:pPr>
            <w:r w:rsidRPr="00EA2D40">
              <w:rPr>
                <w:rFonts w:cstheme="minorHAnsi"/>
                <w:sz w:val="20"/>
                <w:szCs w:val="20"/>
              </w:rPr>
              <w:t>Headcount</w:t>
            </w:r>
          </w:p>
        </w:tc>
        <w:tc>
          <w:tcPr>
            <w:tcW w:w="1313" w:type="dxa"/>
            <w:noWrap/>
            <w:vAlign w:val="center"/>
            <w:hideMark/>
          </w:tcPr>
          <w:p w14:paraId="19CA65C8" w14:textId="77777777" w:rsidR="00EA2D40" w:rsidRPr="00EA2D40" w:rsidRDefault="00EA2D40" w:rsidP="00EA2D40">
            <w:pPr>
              <w:jc w:val="center"/>
              <w:rPr>
                <w:rFonts w:cstheme="minorHAnsi"/>
                <w:sz w:val="20"/>
                <w:szCs w:val="20"/>
              </w:rPr>
            </w:pPr>
            <w:r w:rsidRPr="00EA2D40">
              <w:rPr>
                <w:rFonts w:cstheme="minorHAnsi"/>
                <w:sz w:val="20"/>
                <w:szCs w:val="20"/>
              </w:rPr>
              <w:t>Total Graded</w:t>
            </w:r>
          </w:p>
        </w:tc>
        <w:tc>
          <w:tcPr>
            <w:tcW w:w="1244" w:type="dxa"/>
            <w:noWrap/>
            <w:vAlign w:val="center"/>
            <w:hideMark/>
          </w:tcPr>
          <w:p w14:paraId="04AF5737" w14:textId="77777777" w:rsidR="00EA2D40" w:rsidRPr="00EA2D40" w:rsidRDefault="00EA2D40" w:rsidP="00EA2D40">
            <w:pPr>
              <w:jc w:val="center"/>
              <w:rPr>
                <w:rFonts w:cstheme="minorHAnsi"/>
                <w:sz w:val="20"/>
                <w:szCs w:val="20"/>
              </w:rPr>
            </w:pPr>
            <w:r w:rsidRPr="00EA2D40">
              <w:rPr>
                <w:rFonts w:cstheme="minorHAnsi"/>
                <w:sz w:val="20"/>
                <w:szCs w:val="20"/>
              </w:rPr>
              <w:t>Course Completion</w:t>
            </w:r>
          </w:p>
        </w:tc>
        <w:tc>
          <w:tcPr>
            <w:tcW w:w="1278" w:type="dxa"/>
            <w:noWrap/>
            <w:vAlign w:val="center"/>
            <w:hideMark/>
          </w:tcPr>
          <w:p w14:paraId="55B19D3D" w14:textId="77777777" w:rsidR="00EA2D40" w:rsidRPr="00EA2D40" w:rsidRDefault="00EA2D40" w:rsidP="00EA2D40">
            <w:pPr>
              <w:jc w:val="center"/>
              <w:rPr>
                <w:rFonts w:cstheme="minorHAnsi"/>
                <w:sz w:val="20"/>
                <w:szCs w:val="20"/>
              </w:rPr>
            </w:pPr>
            <w:r w:rsidRPr="00EA2D40">
              <w:rPr>
                <w:rFonts w:cstheme="minorHAnsi"/>
                <w:sz w:val="20"/>
                <w:szCs w:val="20"/>
              </w:rPr>
              <w:t>Course Completion Rate</w:t>
            </w:r>
          </w:p>
        </w:tc>
      </w:tr>
      <w:tr w:rsidR="00EA2D40" w:rsidRPr="00EA2D40" w14:paraId="3F4F4C4C" w14:textId="77777777" w:rsidTr="00EA2D40">
        <w:trPr>
          <w:trHeight w:val="237"/>
          <w:jc w:val="center"/>
        </w:trPr>
        <w:tc>
          <w:tcPr>
            <w:tcW w:w="1030" w:type="dxa"/>
            <w:noWrap/>
            <w:vAlign w:val="center"/>
            <w:hideMark/>
          </w:tcPr>
          <w:p w14:paraId="44D5DD3F"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064" w:type="dxa"/>
            <w:noWrap/>
            <w:vAlign w:val="center"/>
            <w:hideMark/>
          </w:tcPr>
          <w:p w14:paraId="5B958F4E" w14:textId="77777777" w:rsidR="00EA2D40" w:rsidRPr="00EA2D40" w:rsidRDefault="00EA2D40" w:rsidP="00EA2D40">
            <w:pPr>
              <w:jc w:val="center"/>
              <w:rPr>
                <w:rFonts w:cstheme="minorHAnsi"/>
                <w:sz w:val="20"/>
                <w:szCs w:val="20"/>
              </w:rPr>
            </w:pPr>
            <w:r w:rsidRPr="00EA2D40">
              <w:rPr>
                <w:rFonts w:cstheme="minorHAnsi"/>
                <w:sz w:val="20"/>
                <w:szCs w:val="20"/>
              </w:rPr>
              <w:t>2022</w:t>
            </w:r>
          </w:p>
        </w:tc>
        <w:tc>
          <w:tcPr>
            <w:tcW w:w="2374" w:type="dxa"/>
            <w:noWrap/>
            <w:vAlign w:val="center"/>
            <w:hideMark/>
          </w:tcPr>
          <w:p w14:paraId="13A77FE0"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87" w:type="dxa"/>
            <w:noWrap/>
            <w:vAlign w:val="center"/>
            <w:hideMark/>
          </w:tcPr>
          <w:p w14:paraId="1BE1745E" w14:textId="77777777" w:rsidR="00EA2D40" w:rsidRPr="00EA2D40" w:rsidRDefault="00EA2D40" w:rsidP="00EA2D40">
            <w:pPr>
              <w:jc w:val="center"/>
              <w:rPr>
                <w:rFonts w:cstheme="minorHAnsi"/>
                <w:sz w:val="20"/>
                <w:szCs w:val="20"/>
              </w:rPr>
            </w:pPr>
            <w:r w:rsidRPr="00EA2D40">
              <w:rPr>
                <w:rFonts w:cstheme="minorHAnsi"/>
                <w:sz w:val="20"/>
                <w:szCs w:val="20"/>
              </w:rPr>
              <w:t>46</w:t>
            </w:r>
          </w:p>
        </w:tc>
        <w:tc>
          <w:tcPr>
            <w:tcW w:w="1313" w:type="dxa"/>
            <w:noWrap/>
            <w:vAlign w:val="center"/>
            <w:hideMark/>
          </w:tcPr>
          <w:p w14:paraId="3339F245" w14:textId="77777777" w:rsidR="00EA2D40" w:rsidRPr="00EA2D40" w:rsidRDefault="00EA2D40" w:rsidP="00EA2D40">
            <w:pPr>
              <w:jc w:val="center"/>
              <w:rPr>
                <w:rFonts w:cstheme="minorHAnsi"/>
                <w:sz w:val="20"/>
                <w:szCs w:val="20"/>
              </w:rPr>
            </w:pPr>
            <w:r w:rsidRPr="00EA2D40">
              <w:rPr>
                <w:rFonts w:cstheme="minorHAnsi"/>
                <w:sz w:val="20"/>
                <w:szCs w:val="20"/>
              </w:rPr>
              <w:t>207</w:t>
            </w:r>
          </w:p>
        </w:tc>
        <w:tc>
          <w:tcPr>
            <w:tcW w:w="1244" w:type="dxa"/>
            <w:noWrap/>
            <w:vAlign w:val="center"/>
            <w:hideMark/>
          </w:tcPr>
          <w:p w14:paraId="51101CC7" w14:textId="77777777" w:rsidR="00EA2D40" w:rsidRPr="00EA2D40" w:rsidRDefault="00EA2D40" w:rsidP="00EA2D40">
            <w:pPr>
              <w:jc w:val="center"/>
              <w:rPr>
                <w:rFonts w:cstheme="minorHAnsi"/>
                <w:sz w:val="20"/>
                <w:szCs w:val="20"/>
              </w:rPr>
            </w:pPr>
            <w:r w:rsidRPr="00EA2D40">
              <w:rPr>
                <w:rFonts w:cstheme="minorHAnsi"/>
                <w:sz w:val="20"/>
                <w:szCs w:val="20"/>
              </w:rPr>
              <w:t>128</w:t>
            </w:r>
          </w:p>
        </w:tc>
        <w:tc>
          <w:tcPr>
            <w:tcW w:w="1278" w:type="dxa"/>
            <w:noWrap/>
            <w:vAlign w:val="center"/>
            <w:hideMark/>
          </w:tcPr>
          <w:p w14:paraId="722CE4B8" w14:textId="77777777" w:rsidR="00EA2D40" w:rsidRPr="00EA2D40" w:rsidRDefault="00EA2D40" w:rsidP="00EA2D40">
            <w:pPr>
              <w:jc w:val="center"/>
              <w:rPr>
                <w:rFonts w:cstheme="minorHAnsi"/>
                <w:sz w:val="20"/>
                <w:szCs w:val="20"/>
              </w:rPr>
            </w:pPr>
            <w:r w:rsidRPr="00EA2D40">
              <w:rPr>
                <w:rFonts w:cstheme="minorHAnsi"/>
                <w:sz w:val="20"/>
                <w:szCs w:val="20"/>
              </w:rPr>
              <w:t>62%</w:t>
            </w:r>
          </w:p>
        </w:tc>
      </w:tr>
      <w:tr w:rsidR="00EA2D40" w:rsidRPr="00EA2D40" w14:paraId="79EC9BE5" w14:textId="77777777" w:rsidTr="00EA2D40">
        <w:trPr>
          <w:trHeight w:val="237"/>
          <w:jc w:val="center"/>
        </w:trPr>
        <w:tc>
          <w:tcPr>
            <w:tcW w:w="1030" w:type="dxa"/>
            <w:noWrap/>
            <w:vAlign w:val="center"/>
            <w:hideMark/>
          </w:tcPr>
          <w:p w14:paraId="602ED759"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064" w:type="dxa"/>
            <w:noWrap/>
            <w:vAlign w:val="center"/>
            <w:hideMark/>
          </w:tcPr>
          <w:p w14:paraId="00086613" w14:textId="77777777" w:rsidR="00EA2D40" w:rsidRPr="00EA2D40" w:rsidRDefault="00EA2D40" w:rsidP="00EA2D40">
            <w:pPr>
              <w:jc w:val="center"/>
              <w:rPr>
                <w:rFonts w:cstheme="minorHAnsi"/>
                <w:sz w:val="20"/>
                <w:szCs w:val="20"/>
              </w:rPr>
            </w:pPr>
            <w:r w:rsidRPr="00EA2D40">
              <w:rPr>
                <w:rFonts w:cstheme="minorHAnsi"/>
                <w:sz w:val="20"/>
                <w:szCs w:val="20"/>
              </w:rPr>
              <w:t>2021</w:t>
            </w:r>
          </w:p>
        </w:tc>
        <w:tc>
          <w:tcPr>
            <w:tcW w:w="2374" w:type="dxa"/>
            <w:noWrap/>
            <w:vAlign w:val="center"/>
            <w:hideMark/>
          </w:tcPr>
          <w:p w14:paraId="5D409A3A"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87" w:type="dxa"/>
            <w:noWrap/>
            <w:vAlign w:val="center"/>
            <w:hideMark/>
          </w:tcPr>
          <w:p w14:paraId="12698D2C" w14:textId="77777777" w:rsidR="00EA2D40" w:rsidRPr="00EA2D40" w:rsidRDefault="00EA2D40" w:rsidP="00EA2D40">
            <w:pPr>
              <w:jc w:val="center"/>
              <w:rPr>
                <w:rFonts w:cstheme="minorHAnsi"/>
                <w:sz w:val="20"/>
                <w:szCs w:val="20"/>
              </w:rPr>
            </w:pPr>
            <w:r w:rsidRPr="00EA2D40">
              <w:rPr>
                <w:rFonts w:cstheme="minorHAnsi"/>
                <w:sz w:val="20"/>
                <w:szCs w:val="20"/>
              </w:rPr>
              <w:t>54</w:t>
            </w:r>
          </w:p>
        </w:tc>
        <w:tc>
          <w:tcPr>
            <w:tcW w:w="1313" w:type="dxa"/>
            <w:noWrap/>
            <w:vAlign w:val="center"/>
            <w:hideMark/>
          </w:tcPr>
          <w:p w14:paraId="765999E3" w14:textId="77777777" w:rsidR="00EA2D40" w:rsidRPr="00EA2D40" w:rsidRDefault="00EA2D40" w:rsidP="00EA2D40">
            <w:pPr>
              <w:jc w:val="center"/>
              <w:rPr>
                <w:rFonts w:cstheme="minorHAnsi"/>
                <w:sz w:val="20"/>
                <w:szCs w:val="20"/>
              </w:rPr>
            </w:pPr>
            <w:r w:rsidRPr="00EA2D40">
              <w:rPr>
                <w:rFonts w:cstheme="minorHAnsi"/>
                <w:sz w:val="20"/>
                <w:szCs w:val="20"/>
              </w:rPr>
              <w:t>245</w:t>
            </w:r>
          </w:p>
        </w:tc>
        <w:tc>
          <w:tcPr>
            <w:tcW w:w="1244" w:type="dxa"/>
            <w:noWrap/>
            <w:vAlign w:val="center"/>
            <w:hideMark/>
          </w:tcPr>
          <w:p w14:paraId="66718F8D" w14:textId="77777777" w:rsidR="00EA2D40" w:rsidRPr="00EA2D40" w:rsidRDefault="00EA2D40" w:rsidP="00EA2D40">
            <w:pPr>
              <w:jc w:val="center"/>
              <w:rPr>
                <w:rFonts w:cstheme="minorHAnsi"/>
                <w:sz w:val="20"/>
                <w:szCs w:val="20"/>
              </w:rPr>
            </w:pPr>
            <w:r w:rsidRPr="00EA2D40">
              <w:rPr>
                <w:rFonts w:cstheme="minorHAnsi"/>
                <w:sz w:val="20"/>
                <w:szCs w:val="20"/>
              </w:rPr>
              <w:t>155</w:t>
            </w:r>
          </w:p>
        </w:tc>
        <w:tc>
          <w:tcPr>
            <w:tcW w:w="1278" w:type="dxa"/>
            <w:noWrap/>
            <w:vAlign w:val="center"/>
            <w:hideMark/>
          </w:tcPr>
          <w:p w14:paraId="2D9CF841" w14:textId="77777777" w:rsidR="00EA2D40" w:rsidRPr="00EA2D40" w:rsidRDefault="00EA2D40" w:rsidP="00EA2D40">
            <w:pPr>
              <w:jc w:val="center"/>
              <w:rPr>
                <w:rFonts w:cstheme="minorHAnsi"/>
                <w:sz w:val="20"/>
                <w:szCs w:val="20"/>
              </w:rPr>
            </w:pPr>
            <w:r w:rsidRPr="00EA2D40">
              <w:rPr>
                <w:rFonts w:cstheme="minorHAnsi"/>
                <w:sz w:val="20"/>
                <w:szCs w:val="20"/>
              </w:rPr>
              <w:t>63%</w:t>
            </w:r>
          </w:p>
        </w:tc>
      </w:tr>
      <w:tr w:rsidR="00EA2D40" w:rsidRPr="00EA2D40" w14:paraId="7FA4532A" w14:textId="77777777" w:rsidTr="00EA2D40">
        <w:trPr>
          <w:trHeight w:val="237"/>
          <w:jc w:val="center"/>
        </w:trPr>
        <w:tc>
          <w:tcPr>
            <w:tcW w:w="1030" w:type="dxa"/>
            <w:noWrap/>
            <w:vAlign w:val="center"/>
            <w:hideMark/>
          </w:tcPr>
          <w:p w14:paraId="05258892"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064" w:type="dxa"/>
            <w:noWrap/>
            <w:vAlign w:val="center"/>
            <w:hideMark/>
          </w:tcPr>
          <w:p w14:paraId="0BF4FD91" w14:textId="77777777" w:rsidR="00EA2D40" w:rsidRPr="00EA2D40" w:rsidRDefault="00EA2D40" w:rsidP="00EA2D40">
            <w:pPr>
              <w:jc w:val="center"/>
              <w:rPr>
                <w:rFonts w:cstheme="minorHAnsi"/>
                <w:sz w:val="20"/>
                <w:szCs w:val="20"/>
              </w:rPr>
            </w:pPr>
            <w:r w:rsidRPr="00EA2D40">
              <w:rPr>
                <w:rFonts w:cstheme="minorHAnsi"/>
                <w:sz w:val="20"/>
                <w:szCs w:val="20"/>
              </w:rPr>
              <w:t>2020</w:t>
            </w:r>
          </w:p>
        </w:tc>
        <w:tc>
          <w:tcPr>
            <w:tcW w:w="2374" w:type="dxa"/>
            <w:noWrap/>
            <w:vAlign w:val="center"/>
            <w:hideMark/>
          </w:tcPr>
          <w:p w14:paraId="50B063D0"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87" w:type="dxa"/>
            <w:noWrap/>
            <w:vAlign w:val="center"/>
            <w:hideMark/>
          </w:tcPr>
          <w:p w14:paraId="19F20EFD" w14:textId="77777777" w:rsidR="00EA2D40" w:rsidRPr="00EA2D40" w:rsidRDefault="00EA2D40" w:rsidP="00EA2D40">
            <w:pPr>
              <w:jc w:val="center"/>
              <w:rPr>
                <w:rFonts w:cstheme="minorHAnsi"/>
                <w:sz w:val="20"/>
                <w:szCs w:val="20"/>
              </w:rPr>
            </w:pPr>
            <w:r w:rsidRPr="00EA2D40">
              <w:rPr>
                <w:rFonts w:cstheme="minorHAnsi"/>
                <w:sz w:val="20"/>
                <w:szCs w:val="20"/>
              </w:rPr>
              <w:t>75</w:t>
            </w:r>
          </w:p>
        </w:tc>
        <w:tc>
          <w:tcPr>
            <w:tcW w:w="1313" w:type="dxa"/>
            <w:noWrap/>
            <w:vAlign w:val="center"/>
            <w:hideMark/>
          </w:tcPr>
          <w:p w14:paraId="7635AD04" w14:textId="77777777" w:rsidR="00EA2D40" w:rsidRPr="00EA2D40" w:rsidRDefault="00EA2D40" w:rsidP="00EA2D40">
            <w:pPr>
              <w:jc w:val="center"/>
              <w:rPr>
                <w:rFonts w:cstheme="minorHAnsi"/>
                <w:sz w:val="20"/>
                <w:szCs w:val="20"/>
              </w:rPr>
            </w:pPr>
            <w:r w:rsidRPr="00EA2D40">
              <w:rPr>
                <w:rFonts w:cstheme="minorHAnsi"/>
                <w:sz w:val="20"/>
                <w:szCs w:val="20"/>
              </w:rPr>
              <w:t>358</w:t>
            </w:r>
          </w:p>
        </w:tc>
        <w:tc>
          <w:tcPr>
            <w:tcW w:w="1244" w:type="dxa"/>
            <w:noWrap/>
            <w:vAlign w:val="center"/>
            <w:hideMark/>
          </w:tcPr>
          <w:p w14:paraId="043B59A2" w14:textId="77777777" w:rsidR="00EA2D40" w:rsidRPr="00EA2D40" w:rsidRDefault="00EA2D40" w:rsidP="00EA2D40">
            <w:pPr>
              <w:jc w:val="center"/>
              <w:rPr>
                <w:rFonts w:cstheme="minorHAnsi"/>
                <w:sz w:val="20"/>
                <w:szCs w:val="20"/>
              </w:rPr>
            </w:pPr>
            <w:r w:rsidRPr="00EA2D40">
              <w:rPr>
                <w:rFonts w:cstheme="minorHAnsi"/>
                <w:sz w:val="20"/>
                <w:szCs w:val="20"/>
              </w:rPr>
              <w:t>255</w:t>
            </w:r>
          </w:p>
        </w:tc>
        <w:tc>
          <w:tcPr>
            <w:tcW w:w="1278" w:type="dxa"/>
            <w:noWrap/>
            <w:vAlign w:val="center"/>
            <w:hideMark/>
          </w:tcPr>
          <w:p w14:paraId="73EA53F8" w14:textId="77777777" w:rsidR="00EA2D40" w:rsidRPr="00EA2D40" w:rsidRDefault="00EA2D40" w:rsidP="00EA2D40">
            <w:pPr>
              <w:jc w:val="center"/>
              <w:rPr>
                <w:rFonts w:cstheme="minorHAnsi"/>
                <w:sz w:val="20"/>
                <w:szCs w:val="20"/>
              </w:rPr>
            </w:pPr>
            <w:r w:rsidRPr="00EA2D40">
              <w:rPr>
                <w:rFonts w:cstheme="minorHAnsi"/>
                <w:sz w:val="20"/>
                <w:szCs w:val="20"/>
              </w:rPr>
              <w:t>71%</w:t>
            </w:r>
          </w:p>
        </w:tc>
      </w:tr>
      <w:tr w:rsidR="00EA2D40" w:rsidRPr="00EA2D40" w14:paraId="2C8D3679" w14:textId="77777777" w:rsidTr="00EA2D40">
        <w:trPr>
          <w:trHeight w:val="237"/>
          <w:jc w:val="center"/>
        </w:trPr>
        <w:tc>
          <w:tcPr>
            <w:tcW w:w="1030" w:type="dxa"/>
            <w:noWrap/>
            <w:vAlign w:val="center"/>
            <w:hideMark/>
          </w:tcPr>
          <w:p w14:paraId="5E177F0C"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064" w:type="dxa"/>
            <w:noWrap/>
            <w:vAlign w:val="center"/>
            <w:hideMark/>
          </w:tcPr>
          <w:p w14:paraId="4671D4E3" w14:textId="77777777" w:rsidR="00EA2D40" w:rsidRPr="00EA2D40" w:rsidRDefault="00EA2D40" w:rsidP="00EA2D40">
            <w:pPr>
              <w:jc w:val="center"/>
              <w:rPr>
                <w:rFonts w:cstheme="minorHAnsi"/>
                <w:sz w:val="20"/>
                <w:szCs w:val="20"/>
              </w:rPr>
            </w:pPr>
            <w:r w:rsidRPr="00EA2D40">
              <w:rPr>
                <w:rFonts w:cstheme="minorHAnsi"/>
                <w:sz w:val="20"/>
                <w:szCs w:val="20"/>
              </w:rPr>
              <w:t>2019</w:t>
            </w:r>
          </w:p>
        </w:tc>
        <w:tc>
          <w:tcPr>
            <w:tcW w:w="2374" w:type="dxa"/>
            <w:noWrap/>
            <w:vAlign w:val="center"/>
            <w:hideMark/>
          </w:tcPr>
          <w:p w14:paraId="1800E707"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87" w:type="dxa"/>
            <w:noWrap/>
            <w:vAlign w:val="center"/>
            <w:hideMark/>
          </w:tcPr>
          <w:p w14:paraId="75ABB3DB" w14:textId="77777777" w:rsidR="00EA2D40" w:rsidRPr="00EA2D40" w:rsidRDefault="00EA2D40" w:rsidP="00EA2D40">
            <w:pPr>
              <w:jc w:val="center"/>
              <w:rPr>
                <w:rFonts w:cstheme="minorHAnsi"/>
                <w:sz w:val="20"/>
                <w:szCs w:val="20"/>
              </w:rPr>
            </w:pPr>
            <w:r w:rsidRPr="00EA2D40">
              <w:rPr>
                <w:rFonts w:cstheme="minorHAnsi"/>
                <w:sz w:val="20"/>
                <w:szCs w:val="20"/>
              </w:rPr>
              <w:t>79</w:t>
            </w:r>
          </w:p>
        </w:tc>
        <w:tc>
          <w:tcPr>
            <w:tcW w:w="1313" w:type="dxa"/>
            <w:noWrap/>
            <w:vAlign w:val="center"/>
            <w:hideMark/>
          </w:tcPr>
          <w:p w14:paraId="571FE13A" w14:textId="77777777" w:rsidR="00EA2D40" w:rsidRPr="00EA2D40" w:rsidRDefault="00EA2D40" w:rsidP="00EA2D40">
            <w:pPr>
              <w:jc w:val="center"/>
              <w:rPr>
                <w:rFonts w:cstheme="minorHAnsi"/>
                <w:sz w:val="20"/>
                <w:szCs w:val="20"/>
              </w:rPr>
            </w:pPr>
            <w:r w:rsidRPr="00EA2D40">
              <w:rPr>
                <w:rFonts w:cstheme="minorHAnsi"/>
                <w:sz w:val="20"/>
                <w:szCs w:val="20"/>
              </w:rPr>
              <w:t>461</w:t>
            </w:r>
          </w:p>
        </w:tc>
        <w:tc>
          <w:tcPr>
            <w:tcW w:w="1244" w:type="dxa"/>
            <w:noWrap/>
            <w:vAlign w:val="center"/>
            <w:hideMark/>
          </w:tcPr>
          <w:p w14:paraId="7D1053E5" w14:textId="77777777" w:rsidR="00EA2D40" w:rsidRPr="00EA2D40" w:rsidRDefault="00EA2D40" w:rsidP="00EA2D40">
            <w:pPr>
              <w:jc w:val="center"/>
              <w:rPr>
                <w:rFonts w:cstheme="minorHAnsi"/>
                <w:sz w:val="20"/>
                <w:szCs w:val="20"/>
              </w:rPr>
            </w:pPr>
            <w:r w:rsidRPr="00EA2D40">
              <w:rPr>
                <w:rFonts w:cstheme="minorHAnsi"/>
                <w:sz w:val="20"/>
                <w:szCs w:val="20"/>
              </w:rPr>
              <w:t>327</w:t>
            </w:r>
          </w:p>
        </w:tc>
        <w:tc>
          <w:tcPr>
            <w:tcW w:w="1278" w:type="dxa"/>
            <w:noWrap/>
            <w:vAlign w:val="center"/>
            <w:hideMark/>
          </w:tcPr>
          <w:p w14:paraId="766F729F" w14:textId="77777777" w:rsidR="00EA2D40" w:rsidRPr="00EA2D40" w:rsidRDefault="00EA2D40" w:rsidP="00EA2D40">
            <w:pPr>
              <w:jc w:val="center"/>
              <w:rPr>
                <w:rFonts w:cstheme="minorHAnsi"/>
                <w:sz w:val="20"/>
                <w:szCs w:val="20"/>
              </w:rPr>
            </w:pPr>
            <w:r w:rsidRPr="00EA2D40">
              <w:rPr>
                <w:rFonts w:cstheme="minorHAnsi"/>
                <w:sz w:val="20"/>
                <w:szCs w:val="20"/>
              </w:rPr>
              <w:t>71%</w:t>
            </w:r>
          </w:p>
        </w:tc>
      </w:tr>
      <w:tr w:rsidR="00EA2D40" w:rsidRPr="00EA2D40" w14:paraId="59CC0DE7" w14:textId="77777777" w:rsidTr="00EA2D40">
        <w:trPr>
          <w:trHeight w:val="237"/>
          <w:jc w:val="center"/>
        </w:trPr>
        <w:tc>
          <w:tcPr>
            <w:tcW w:w="1030" w:type="dxa"/>
            <w:noWrap/>
            <w:vAlign w:val="center"/>
            <w:hideMark/>
          </w:tcPr>
          <w:p w14:paraId="406F8B69"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064" w:type="dxa"/>
            <w:noWrap/>
            <w:vAlign w:val="center"/>
            <w:hideMark/>
          </w:tcPr>
          <w:p w14:paraId="1244119D" w14:textId="77777777" w:rsidR="00EA2D40" w:rsidRPr="00EA2D40" w:rsidRDefault="00EA2D40" w:rsidP="00EA2D40">
            <w:pPr>
              <w:jc w:val="center"/>
              <w:rPr>
                <w:rFonts w:cstheme="minorHAnsi"/>
                <w:sz w:val="20"/>
                <w:szCs w:val="20"/>
              </w:rPr>
            </w:pPr>
            <w:r w:rsidRPr="00EA2D40">
              <w:rPr>
                <w:rFonts w:cstheme="minorHAnsi"/>
                <w:sz w:val="20"/>
                <w:szCs w:val="20"/>
              </w:rPr>
              <w:t>2018</w:t>
            </w:r>
          </w:p>
        </w:tc>
        <w:tc>
          <w:tcPr>
            <w:tcW w:w="2374" w:type="dxa"/>
            <w:noWrap/>
            <w:vAlign w:val="center"/>
            <w:hideMark/>
          </w:tcPr>
          <w:p w14:paraId="58647F0A"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87" w:type="dxa"/>
            <w:noWrap/>
            <w:vAlign w:val="center"/>
            <w:hideMark/>
          </w:tcPr>
          <w:p w14:paraId="226A75A8" w14:textId="77777777" w:rsidR="00EA2D40" w:rsidRPr="00EA2D40" w:rsidRDefault="00EA2D40" w:rsidP="00EA2D40">
            <w:pPr>
              <w:jc w:val="center"/>
              <w:rPr>
                <w:rFonts w:cstheme="minorHAnsi"/>
                <w:sz w:val="20"/>
                <w:szCs w:val="20"/>
              </w:rPr>
            </w:pPr>
            <w:r w:rsidRPr="00EA2D40">
              <w:rPr>
                <w:rFonts w:cstheme="minorHAnsi"/>
                <w:sz w:val="20"/>
                <w:szCs w:val="20"/>
              </w:rPr>
              <w:t>86</w:t>
            </w:r>
          </w:p>
        </w:tc>
        <w:tc>
          <w:tcPr>
            <w:tcW w:w="1313" w:type="dxa"/>
            <w:noWrap/>
            <w:vAlign w:val="center"/>
            <w:hideMark/>
          </w:tcPr>
          <w:p w14:paraId="69306B65" w14:textId="77777777" w:rsidR="00EA2D40" w:rsidRPr="00EA2D40" w:rsidRDefault="00EA2D40" w:rsidP="00EA2D40">
            <w:pPr>
              <w:jc w:val="center"/>
              <w:rPr>
                <w:rFonts w:cstheme="minorHAnsi"/>
                <w:sz w:val="20"/>
                <w:szCs w:val="20"/>
              </w:rPr>
            </w:pPr>
            <w:r w:rsidRPr="00EA2D40">
              <w:rPr>
                <w:rFonts w:cstheme="minorHAnsi"/>
                <w:sz w:val="20"/>
                <w:szCs w:val="20"/>
              </w:rPr>
              <w:t>492</w:t>
            </w:r>
          </w:p>
        </w:tc>
        <w:tc>
          <w:tcPr>
            <w:tcW w:w="1244" w:type="dxa"/>
            <w:noWrap/>
            <w:vAlign w:val="center"/>
            <w:hideMark/>
          </w:tcPr>
          <w:p w14:paraId="0194F8D5" w14:textId="77777777" w:rsidR="00EA2D40" w:rsidRPr="00EA2D40" w:rsidRDefault="00EA2D40" w:rsidP="00EA2D40">
            <w:pPr>
              <w:jc w:val="center"/>
              <w:rPr>
                <w:rFonts w:cstheme="minorHAnsi"/>
                <w:sz w:val="20"/>
                <w:szCs w:val="20"/>
              </w:rPr>
            </w:pPr>
            <w:r w:rsidRPr="00EA2D40">
              <w:rPr>
                <w:rFonts w:cstheme="minorHAnsi"/>
                <w:sz w:val="20"/>
                <w:szCs w:val="20"/>
              </w:rPr>
              <w:t>354</w:t>
            </w:r>
          </w:p>
        </w:tc>
        <w:tc>
          <w:tcPr>
            <w:tcW w:w="1278" w:type="dxa"/>
            <w:noWrap/>
            <w:vAlign w:val="center"/>
            <w:hideMark/>
          </w:tcPr>
          <w:p w14:paraId="4B1AAF83" w14:textId="77777777" w:rsidR="00EA2D40" w:rsidRPr="00EA2D40" w:rsidRDefault="00EA2D40" w:rsidP="00EA2D40">
            <w:pPr>
              <w:jc w:val="center"/>
              <w:rPr>
                <w:rFonts w:cstheme="minorHAnsi"/>
                <w:sz w:val="20"/>
                <w:szCs w:val="20"/>
              </w:rPr>
            </w:pPr>
            <w:r w:rsidRPr="00EA2D40">
              <w:rPr>
                <w:rFonts w:cstheme="minorHAnsi"/>
                <w:sz w:val="20"/>
                <w:szCs w:val="20"/>
              </w:rPr>
              <w:t>72%</w:t>
            </w:r>
          </w:p>
        </w:tc>
      </w:tr>
    </w:tbl>
    <w:p w14:paraId="775087DA" w14:textId="77777777" w:rsidR="00EA2D40" w:rsidRPr="00D921B3" w:rsidRDefault="00EA2D40"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30CA6DCF" w14:textId="100097E7" w:rsidR="00A603DE" w:rsidRPr="00D921B3" w:rsidRDefault="00454897" w:rsidP="00355F96">
            <w:pPr>
              <w:jc w:val="left"/>
              <w:rPr>
                <w:rFonts w:cstheme="minorHAnsi"/>
              </w:rPr>
            </w:pPr>
            <w:r>
              <w:rPr>
                <w:rFonts w:cstheme="minorHAnsi"/>
              </w:rPr>
              <w:t xml:space="preserve">Before Covid-19 </w:t>
            </w:r>
            <w:r w:rsidR="00B462D2">
              <w:rPr>
                <w:rFonts w:cstheme="minorHAnsi"/>
              </w:rPr>
              <w:t>epidemic 2018 up to 2020</w:t>
            </w:r>
            <w:r w:rsidR="00A627C0">
              <w:rPr>
                <w:rFonts w:cstheme="minorHAnsi"/>
              </w:rPr>
              <w:t>, the</w:t>
            </w:r>
            <w:r>
              <w:rPr>
                <w:rFonts w:cstheme="minorHAnsi"/>
              </w:rPr>
              <w:t xml:space="preserve"> </w:t>
            </w:r>
            <w:r w:rsidR="00B462D2">
              <w:rPr>
                <w:rFonts w:cstheme="minorHAnsi"/>
              </w:rPr>
              <w:t xml:space="preserve">course completion rate exceeded the </w:t>
            </w:r>
            <w:r>
              <w:rPr>
                <w:rFonts w:cstheme="minorHAnsi"/>
              </w:rPr>
              <w:t>college’s College set</w:t>
            </w:r>
            <w:r w:rsidR="00B462D2">
              <w:rPr>
                <w:rFonts w:cstheme="minorHAnsi"/>
              </w:rPr>
              <w:t xml:space="preserve"> Standard at 71</w:t>
            </w:r>
            <w:r w:rsidR="0028374C">
              <w:rPr>
                <w:rFonts w:cstheme="minorHAnsi"/>
              </w:rPr>
              <w:t>%.  from Covid – 19 (</w:t>
            </w:r>
            <w:r w:rsidR="00A46EF9">
              <w:rPr>
                <w:rFonts w:cstheme="minorHAnsi"/>
              </w:rPr>
              <w:t>March</w:t>
            </w:r>
            <w:r w:rsidR="0028374C">
              <w:rPr>
                <w:rFonts w:cstheme="minorHAnsi"/>
              </w:rPr>
              <w:t xml:space="preserve"> 2020) to present </w:t>
            </w:r>
            <w:r w:rsidR="00B462D2">
              <w:rPr>
                <w:rFonts w:cstheme="minorHAnsi"/>
              </w:rPr>
              <w:t>day, there</w:t>
            </w:r>
            <w:r w:rsidR="0028374C">
              <w:rPr>
                <w:rFonts w:cstheme="minorHAnsi"/>
              </w:rPr>
              <w:t>’s</w:t>
            </w:r>
            <w:r w:rsidR="00B462D2">
              <w:rPr>
                <w:rFonts w:cstheme="minorHAnsi"/>
              </w:rPr>
              <w:t xml:space="preserve"> was a drop by overall 4-5%</w:t>
            </w:r>
            <w:r w:rsidR="00355F96">
              <w:rPr>
                <w:rFonts w:cstheme="minorHAnsi"/>
              </w:rPr>
              <w:t>.</w:t>
            </w:r>
          </w:p>
        </w:tc>
      </w:tr>
    </w:tbl>
    <w:p w14:paraId="1036582E" w14:textId="77777777" w:rsidR="00A603DE" w:rsidRPr="00D921B3" w:rsidRDefault="00A603DE" w:rsidP="00D921B3">
      <w:pPr>
        <w:jc w:val="left"/>
        <w:rPr>
          <w:rFonts w:cstheme="minorHAnsi"/>
        </w:rPr>
      </w:pPr>
    </w:p>
    <w:p w14:paraId="5B9A774C" w14:textId="3D1E7520" w:rsidR="00366642"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or discipline course retention rates compare to the college?</w:t>
      </w:r>
    </w:p>
    <w:tbl>
      <w:tblPr>
        <w:tblStyle w:val="TableGrid"/>
        <w:tblW w:w="0" w:type="auto"/>
        <w:tblLook w:val="04A0" w:firstRow="1" w:lastRow="0" w:firstColumn="1" w:lastColumn="0" w:noHBand="0" w:noVBand="1"/>
      </w:tblPr>
      <w:tblGrid>
        <w:gridCol w:w="940"/>
        <w:gridCol w:w="1480"/>
        <w:gridCol w:w="2020"/>
        <w:gridCol w:w="1120"/>
        <w:gridCol w:w="1300"/>
        <w:gridCol w:w="943"/>
        <w:gridCol w:w="1520"/>
      </w:tblGrid>
      <w:tr w:rsidR="00EA2D40" w:rsidRPr="00EA2D40" w14:paraId="64E8A3F2" w14:textId="77777777" w:rsidTr="00EA2D40">
        <w:trPr>
          <w:trHeight w:val="300"/>
        </w:trPr>
        <w:tc>
          <w:tcPr>
            <w:tcW w:w="940" w:type="dxa"/>
            <w:noWrap/>
            <w:hideMark/>
          </w:tcPr>
          <w:p w14:paraId="308014F0" w14:textId="77777777" w:rsidR="00EA2D40" w:rsidRPr="00EA2D40" w:rsidRDefault="00EA2D40" w:rsidP="00EA2D40">
            <w:pPr>
              <w:jc w:val="center"/>
              <w:rPr>
                <w:rFonts w:cstheme="minorHAnsi"/>
                <w:sz w:val="20"/>
                <w:szCs w:val="20"/>
              </w:rPr>
            </w:pPr>
            <w:r w:rsidRPr="00EA2D40">
              <w:rPr>
                <w:rFonts w:cstheme="minorHAnsi"/>
                <w:sz w:val="20"/>
                <w:szCs w:val="20"/>
              </w:rPr>
              <w:t>College</w:t>
            </w:r>
          </w:p>
        </w:tc>
        <w:tc>
          <w:tcPr>
            <w:tcW w:w="1480" w:type="dxa"/>
            <w:noWrap/>
            <w:hideMark/>
          </w:tcPr>
          <w:p w14:paraId="3CB0048B" w14:textId="77777777" w:rsidR="00EA2D40" w:rsidRPr="00EA2D40" w:rsidRDefault="00EA2D40" w:rsidP="00EA2D40">
            <w:pPr>
              <w:jc w:val="center"/>
              <w:rPr>
                <w:rFonts w:cstheme="minorHAnsi"/>
                <w:sz w:val="20"/>
                <w:szCs w:val="20"/>
              </w:rPr>
            </w:pPr>
            <w:r w:rsidRPr="00EA2D40">
              <w:rPr>
                <w:rFonts w:cstheme="minorHAnsi"/>
                <w:sz w:val="20"/>
                <w:szCs w:val="20"/>
              </w:rPr>
              <w:t>Academic Year</w:t>
            </w:r>
          </w:p>
        </w:tc>
        <w:tc>
          <w:tcPr>
            <w:tcW w:w="2020" w:type="dxa"/>
            <w:noWrap/>
            <w:hideMark/>
          </w:tcPr>
          <w:p w14:paraId="47AB1BAB" w14:textId="77777777" w:rsidR="00EA2D40" w:rsidRPr="00EA2D40" w:rsidRDefault="00EA2D40" w:rsidP="00EA2D40">
            <w:pPr>
              <w:jc w:val="center"/>
              <w:rPr>
                <w:rFonts w:cstheme="minorHAnsi"/>
                <w:sz w:val="20"/>
                <w:szCs w:val="20"/>
              </w:rPr>
            </w:pPr>
            <w:r w:rsidRPr="00EA2D40">
              <w:rPr>
                <w:rFonts w:cstheme="minorHAnsi"/>
                <w:sz w:val="20"/>
                <w:szCs w:val="20"/>
              </w:rPr>
              <w:t>Cohort</w:t>
            </w:r>
          </w:p>
        </w:tc>
        <w:tc>
          <w:tcPr>
            <w:tcW w:w="1120" w:type="dxa"/>
            <w:noWrap/>
            <w:hideMark/>
          </w:tcPr>
          <w:p w14:paraId="0A513A6D" w14:textId="77777777" w:rsidR="00EA2D40" w:rsidRPr="00EA2D40" w:rsidRDefault="00EA2D40" w:rsidP="00EA2D40">
            <w:pPr>
              <w:jc w:val="center"/>
              <w:rPr>
                <w:rFonts w:cstheme="minorHAnsi"/>
                <w:sz w:val="20"/>
                <w:szCs w:val="20"/>
              </w:rPr>
            </w:pPr>
            <w:r w:rsidRPr="00EA2D40">
              <w:rPr>
                <w:rFonts w:cstheme="minorHAnsi"/>
                <w:sz w:val="20"/>
                <w:szCs w:val="20"/>
              </w:rPr>
              <w:t>Headcount</w:t>
            </w:r>
          </w:p>
        </w:tc>
        <w:tc>
          <w:tcPr>
            <w:tcW w:w="1300" w:type="dxa"/>
            <w:noWrap/>
            <w:hideMark/>
          </w:tcPr>
          <w:p w14:paraId="693B3020" w14:textId="77777777" w:rsidR="00EA2D40" w:rsidRPr="00EA2D40" w:rsidRDefault="00EA2D40" w:rsidP="00EA2D40">
            <w:pPr>
              <w:jc w:val="center"/>
              <w:rPr>
                <w:rFonts w:cstheme="minorHAnsi"/>
                <w:sz w:val="20"/>
                <w:szCs w:val="20"/>
              </w:rPr>
            </w:pPr>
            <w:r w:rsidRPr="00EA2D40">
              <w:rPr>
                <w:rFonts w:cstheme="minorHAnsi"/>
                <w:sz w:val="20"/>
                <w:szCs w:val="20"/>
              </w:rPr>
              <w:t>Total Graded</w:t>
            </w:r>
          </w:p>
        </w:tc>
        <w:tc>
          <w:tcPr>
            <w:tcW w:w="940" w:type="dxa"/>
            <w:noWrap/>
            <w:hideMark/>
          </w:tcPr>
          <w:p w14:paraId="1EB2353C" w14:textId="77777777" w:rsidR="00EA2D40" w:rsidRPr="00EA2D40" w:rsidRDefault="00EA2D40" w:rsidP="00EA2D40">
            <w:pPr>
              <w:jc w:val="center"/>
              <w:rPr>
                <w:rFonts w:cstheme="minorHAnsi"/>
                <w:sz w:val="20"/>
                <w:szCs w:val="20"/>
              </w:rPr>
            </w:pPr>
            <w:r w:rsidRPr="00EA2D40">
              <w:rPr>
                <w:rFonts w:cstheme="minorHAnsi"/>
                <w:sz w:val="20"/>
                <w:szCs w:val="20"/>
              </w:rPr>
              <w:t>Retained</w:t>
            </w:r>
          </w:p>
        </w:tc>
        <w:tc>
          <w:tcPr>
            <w:tcW w:w="1520" w:type="dxa"/>
            <w:noWrap/>
            <w:hideMark/>
          </w:tcPr>
          <w:p w14:paraId="35B11112" w14:textId="77777777" w:rsidR="00EA2D40" w:rsidRPr="00EA2D40" w:rsidRDefault="00EA2D40" w:rsidP="00EA2D40">
            <w:pPr>
              <w:jc w:val="center"/>
              <w:rPr>
                <w:rFonts w:cstheme="minorHAnsi"/>
                <w:sz w:val="20"/>
                <w:szCs w:val="20"/>
              </w:rPr>
            </w:pPr>
            <w:r w:rsidRPr="00EA2D40">
              <w:rPr>
                <w:rFonts w:cstheme="minorHAnsi"/>
                <w:sz w:val="20"/>
                <w:szCs w:val="20"/>
              </w:rPr>
              <w:t>Retention Rate</w:t>
            </w:r>
          </w:p>
        </w:tc>
      </w:tr>
      <w:tr w:rsidR="00EA2D40" w:rsidRPr="00EA2D40" w14:paraId="3AC4581F" w14:textId="77777777" w:rsidTr="00EA2D40">
        <w:trPr>
          <w:trHeight w:val="300"/>
        </w:trPr>
        <w:tc>
          <w:tcPr>
            <w:tcW w:w="940" w:type="dxa"/>
            <w:noWrap/>
            <w:hideMark/>
          </w:tcPr>
          <w:p w14:paraId="4BE674E6"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480" w:type="dxa"/>
            <w:noWrap/>
            <w:hideMark/>
          </w:tcPr>
          <w:p w14:paraId="631F6A4D" w14:textId="77777777" w:rsidR="00EA2D40" w:rsidRPr="00EA2D40" w:rsidRDefault="00EA2D40" w:rsidP="00EA2D40">
            <w:pPr>
              <w:jc w:val="center"/>
              <w:rPr>
                <w:rFonts w:cstheme="minorHAnsi"/>
                <w:sz w:val="20"/>
                <w:szCs w:val="20"/>
              </w:rPr>
            </w:pPr>
            <w:r w:rsidRPr="00EA2D40">
              <w:rPr>
                <w:rFonts w:cstheme="minorHAnsi"/>
                <w:sz w:val="20"/>
                <w:szCs w:val="20"/>
              </w:rPr>
              <w:t>2022</w:t>
            </w:r>
          </w:p>
        </w:tc>
        <w:tc>
          <w:tcPr>
            <w:tcW w:w="2020" w:type="dxa"/>
            <w:noWrap/>
            <w:hideMark/>
          </w:tcPr>
          <w:p w14:paraId="473E0881"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20" w:type="dxa"/>
            <w:noWrap/>
            <w:hideMark/>
          </w:tcPr>
          <w:p w14:paraId="31D9125C" w14:textId="77777777" w:rsidR="00EA2D40" w:rsidRPr="00EA2D40" w:rsidRDefault="00EA2D40" w:rsidP="00EA2D40">
            <w:pPr>
              <w:jc w:val="center"/>
              <w:rPr>
                <w:rFonts w:cstheme="minorHAnsi"/>
                <w:sz w:val="20"/>
                <w:szCs w:val="20"/>
              </w:rPr>
            </w:pPr>
            <w:r w:rsidRPr="00EA2D40">
              <w:rPr>
                <w:rFonts w:cstheme="minorHAnsi"/>
                <w:sz w:val="20"/>
                <w:szCs w:val="20"/>
              </w:rPr>
              <w:t>46</w:t>
            </w:r>
          </w:p>
        </w:tc>
        <w:tc>
          <w:tcPr>
            <w:tcW w:w="1300" w:type="dxa"/>
            <w:noWrap/>
            <w:hideMark/>
          </w:tcPr>
          <w:p w14:paraId="6FA21090" w14:textId="77777777" w:rsidR="00EA2D40" w:rsidRPr="00EA2D40" w:rsidRDefault="00EA2D40" w:rsidP="00EA2D40">
            <w:pPr>
              <w:jc w:val="center"/>
              <w:rPr>
                <w:rFonts w:cstheme="minorHAnsi"/>
                <w:sz w:val="20"/>
                <w:szCs w:val="20"/>
              </w:rPr>
            </w:pPr>
            <w:r w:rsidRPr="00EA2D40">
              <w:rPr>
                <w:rFonts w:cstheme="minorHAnsi"/>
                <w:sz w:val="20"/>
                <w:szCs w:val="20"/>
              </w:rPr>
              <w:t>207</w:t>
            </w:r>
          </w:p>
        </w:tc>
        <w:tc>
          <w:tcPr>
            <w:tcW w:w="940" w:type="dxa"/>
            <w:noWrap/>
            <w:hideMark/>
          </w:tcPr>
          <w:p w14:paraId="3762468B" w14:textId="77777777" w:rsidR="00EA2D40" w:rsidRPr="00EA2D40" w:rsidRDefault="00EA2D40" w:rsidP="00EA2D40">
            <w:pPr>
              <w:jc w:val="center"/>
              <w:rPr>
                <w:rFonts w:cstheme="minorHAnsi"/>
                <w:sz w:val="20"/>
                <w:szCs w:val="20"/>
              </w:rPr>
            </w:pPr>
            <w:r w:rsidRPr="00EA2D40">
              <w:rPr>
                <w:rFonts w:cstheme="minorHAnsi"/>
                <w:sz w:val="20"/>
                <w:szCs w:val="20"/>
              </w:rPr>
              <w:t>170</w:t>
            </w:r>
          </w:p>
        </w:tc>
        <w:tc>
          <w:tcPr>
            <w:tcW w:w="1520" w:type="dxa"/>
            <w:noWrap/>
            <w:hideMark/>
          </w:tcPr>
          <w:p w14:paraId="5039216E" w14:textId="77777777" w:rsidR="00EA2D40" w:rsidRPr="00EA2D40" w:rsidRDefault="00EA2D40" w:rsidP="00EA2D40">
            <w:pPr>
              <w:jc w:val="center"/>
              <w:rPr>
                <w:rFonts w:cstheme="minorHAnsi"/>
                <w:sz w:val="20"/>
                <w:szCs w:val="20"/>
              </w:rPr>
            </w:pPr>
            <w:r w:rsidRPr="00EA2D40">
              <w:rPr>
                <w:rFonts w:cstheme="minorHAnsi"/>
                <w:sz w:val="20"/>
                <w:szCs w:val="20"/>
              </w:rPr>
              <w:t>82%</w:t>
            </w:r>
          </w:p>
        </w:tc>
      </w:tr>
      <w:tr w:rsidR="00EA2D40" w:rsidRPr="00EA2D40" w14:paraId="67688B12" w14:textId="77777777" w:rsidTr="00EA2D40">
        <w:trPr>
          <w:trHeight w:val="300"/>
        </w:trPr>
        <w:tc>
          <w:tcPr>
            <w:tcW w:w="940" w:type="dxa"/>
            <w:noWrap/>
            <w:hideMark/>
          </w:tcPr>
          <w:p w14:paraId="19756AF7"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480" w:type="dxa"/>
            <w:noWrap/>
            <w:hideMark/>
          </w:tcPr>
          <w:p w14:paraId="48954711" w14:textId="77777777" w:rsidR="00EA2D40" w:rsidRPr="00EA2D40" w:rsidRDefault="00EA2D40" w:rsidP="00EA2D40">
            <w:pPr>
              <w:jc w:val="center"/>
              <w:rPr>
                <w:rFonts w:cstheme="minorHAnsi"/>
                <w:sz w:val="20"/>
                <w:szCs w:val="20"/>
              </w:rPr>
            </w:pPr>
            <w:r w:rsidRPr="00EA2D40">
              <w:rPr>
                <w:rFonts w:cstheme="minorHAnsi"/>
                <w:sz w:val="20"/>
                <w:szCs w:val="20"/>
              </w:rPr>
              <w:t>2021</w:t>
            </w:r>
          </w:p>
        </w:tc>
        <w:tc>
          <w:tcPr>
            <w:tcW w:w="2020" w:type="dxa"/>
            <w:noWrap/>
            <w:hideMark/>
          </w:tcPr>
          <w:p w14:paraId="21D44001"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20" w:type="dxa"/>
            <w:noWrap/>
            <w:hideMark/>
          </w:tcPr>
          <w:p w14:paraId="66A81E42" w14:textId="77777777" w:rsidR="00EA2D40" w:rsidRPr="00EA2D40" w:rsidRDefault="00EA2D40" w:rsidP="00EA2D40">
            <w:pPr>
              <w:jc w:val="center"/>
              <w:rPr>
                <w:rFonts w:cstheme="minorHAnsi"/>
                <w:sz w:val="20"/>
                <w:szCs w:val="20"/>
              </w:rPr>
            </w:pPr>
            <w:r w:rsidRPr="00EA2D40">
              <w:rPr>
                <w:rFonts w:cstheme="minorHAnsi"/>
                <w:sz w:val="20"/>
                <w:szCs w:val="20"/>
              </w:rPr>
              <w:t>54</w:t>
            </w:r>
          </w:p>
        </w:tc>
        <w:tc>
          <w:tcPr>
            <w:tcW w:w="1300" w:type="dxa"/>
            <w:noWrap/>
            <w:hideMark/>
          </w:tcPr>
          <w:p w14:paraId="5A9DB725" w14:textId="77777777" w:rsidR="00EA2D40" w:rsidRPr="00EA2D40" w:rsidRDefault="00EA2D40" w:rsidP="00EA2D40">
            <w:pPr>
              <w:jc w:val="center"/>
              <w:rPr>
                <w:rFonts w:cstheme="minorHAnsi"/>
                <w:sz w:val="20"/>
                <w:szCs w:val="20"/>
              </w:rPr>
            </w:pPr>
            <w:r w:rsidRPr="00EA2D40">
              <w:rPr>
                <w:rFonts w:cstheme="minorHAnsi"/>
                <w:sz w:val="20"/>
                <w:szCs w:val="20"/>
              </w:rPr>
              <w:t>245</w:t>
            </w:r>
          </w:p>
        </w:tc>
        <w:tc>
          <w:tcPr>
            <w:tcW w:w="940" w:type="dxa"/>
            <w:noWrap/>
            <w:hideMark/>
          </w:tcPr>
          <w:p w14:paraId="6F87F93B" w14:textId="77777777" w:rsidR="00EA2D40" w:rsidRPr="00EA2D40" w:rsidRDefault="00EA2D40" w:rsidP="00EA2D40">
            <w:pPr>
              <w:jc w:val="center"/>
              <w:rPr>
                <w:rFonts w:cstheme="minorHAnsi"/>
                <w:sz w:val="20"/>
                <w:szCs w:val="20"/>
              </w:rPr>
            </w:pPr>
            <w:r w:rsidRPr="00EA2D40">
              <w:rPr>
                <w:rFonts w:cstheme="minorHAnsi"/>
                <w:sz w:val="20"/>
                <w:szCs w:val="20"/>
              </w:rPr>
              <w:t>193</w:t>
            </w:r>
          </w:p>
        </w:tc>
        <w:tc>
          <w:tcPr>
            <w:tcW w:w="1520" w:type="dxa"/>
            <w:noWrap/>
            <w:hideMark/>
          </w:tcPr>
          <w:p w14:paraId="4E7130C3" w14:textId="77777777" w:rsidR="00EA2D40" w:rsidRPr="00EA2D40" w:rsidRDefault="00EA2D40" w:rsidP="00EA2D40">
            <w:pPr>
              <w:jc w:val="center"/>
              <w:rPr>
                <w:rFonts w:cstheme="minorHAnsi"/>
                <w:sz w:val="20"/>
                <w:szCs w:val="20"/>
              </w:rPr>
            </w:pPr>
            <w:r w:rsidRPr="00EA2D40">
              <w:rPr>
                <w:rFonts w:cstheme="minorHAnsi"/>
                <w:sz w:val="20"/>
                <w:szCs w:val="20"/>
              </w:rPr>
              <w:t>79%</w:t>
            </w:r>
          </w:p>
        </w:tc>
      </w:tr>
      <w:tr w:rsidR="00EA2D40" w:rsidRPr="00EA2D40" w14:paraId="2AB720FE" w14:textId="77777777" w:rsidTr="00EA2D40">
        <w:trPr>
          <w:trHeight w:val="300"/>
        </w:trPr>
        <w:tc>
          <w:tcPr>
            <w:tcW w:w="940" w:type="dxa"/>
            <w:noWrap/>
            <w:hideMark/>
          </w:tcPr>
          <w:p w14:paraId="30AC1066"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480" w:type="dxa"/>
            <w:noWrap/>
            <w:hideMark/>
          </w:tcPr>
          <w:p w14:paraId="53FDF13F" w14:textId="77777777" w:rsidR="00EA2D40" w:rsidRPr="00EA2D40" w:rsidRDefault="00EA2D40" w:rsidP="00EA2D40">
            <w:pPr>
              <w:jc w:val="center"/>
              <w:rPr>
                <w:rFonts w:cstheme="minorHAnsi"/>
                <w:sz w:val="20"/>
                <w:szCs w:val="20"/>
              </w:rPr>
            </w:pPr>
            <w:r w:rsidRPr="00EA2D40">
              <w:rPr>
                <w:rFonts w:cstheme="minorHAnsi"/>
                <w:sz w:val="20"/>
                <w:szCs w:val="20"/>
              </w:rPr>
              <w:t>2020</w:t>
            </w:r>
          </w:p>
        </w:tc>
        <w:tc>
          <w:tcPr>
            <w:tcW w:w="2020" w:type="dxa"/>
            <w:noWrap/>
            <w:hideMark/>
          </w:tcPr>
          <w:p w14:paraId="501CCFB5"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20" w:type="dxa"/>
            <w:noWrap/>
            <w:hideMark/>
          </w:tcPr>
          <w:p w14:paraId="7C593A14" w14:textId="77777777" w:rsidR="00EA2D40" w:rsidRPr="00EA2D40" w:rsidRDefault="00EA2D40" w:rsidP="00EA2D40">
            <w:pPr>
              <w:jc w:val="center"/>
              <w:rPr>
                <w:rFonts w:cstheme="minorHAnsi"/>
                <w:sz w:val="20"/>
                <w:szCs w:val="20"/>
              </w:rPr>
            </w:pPr>
            <w:r w:rsidRPr="00EA2D40">
              <w:rPr>
                <w:rFonts w:cstheme="minorHAnsi"/>
                <w:sz w:val="20"/>
                <w:szCs w:val="20"/>
              </w:rPr>
              <w:t>75</w:t>
            </w:r>
          </w:p>
        </w:tc>
        <w:tc>
          <w:tcPr>
            <w:tcW w:w="1300" w:type="dxa"/>
            <w:noWrap/>
            <w:hideMark/>
          </w:tcPr>
          <w:p w14:paraId="0615FD9E" w14:textId="77777777" w:rsidR="00EA2D40" w:rsidRPr="00EA2D40" w:rsidRDefault="00EA2D40" w:rsidP="00EA2D40">
            <w:pPr>
              <w:jc w:val="center"/>
              <w:rPr>
                <w:rFonts w:cstheme="minorHAnsi"/>
                <w:sz w:val="20"/>
                <w:szCs w:val="20"/>
              </w:rPr>
            </w:pPr>
            <w:r w:rsidRPr="00EA2D40">
              <w:rPr>
                <w:rFonts w:cstheme="minorHAnsi"/>
                <w:sz w:val="20"/>
                <w:szCs w:val="20"/>
              </w:rPr>
              <w:t>358</w:t>
            </w:r>
          </w:p>
        </w:tc>
        <w:tc>
          <w:tcPr>
            <w:tcW w:w="940" w:type="dxa"/>
            <w:noWrap/>
            <w:hideMark/>
          </w:tcPr>
          <w:p w14:paraId="14AF3CB1" w14:textId="77777777" w:rsidR="00EA2D40" w:rsidRPr="00EA2D40" w:rsidRDefault="00EA2D40" w:rsidP="00EA2D40">
            <w:pPr>
              <w:jc w:val="center"/>
              <w:rPr>
                <w:rFonts w:cstheme="minorHAnsi"/>
                <w:sz w:val="20"/>
                <w:szCs w:val="20"/>
              </w:rPr>
            </w:pPr>
            <w:r w:rsidRPr="00EA2D40">
              <w:rPr>
                <w:rFonts w:cstheme="minorHAnsi"/>
                <w:sz w:val="20"/>
                <w:szCs w:val="20"/>
              </w:rPr>
              <w:t>314</w:t>
            </w:r>
          </w:p>
        </w:tc>
        <w:tc>
          <w:tcPr>
            <w:tcW w:w="1520" w:type="dxa"/>
            <w:noWrap/>
            <w:hideMark/>
          </w:tcPr>
          <w:p w14:paraId="21B7FECF" w14:textId="77777777" w:rsidR="00EA2D40" w:rsidRPr="00EA2D40" w:rsidRDefault="00EA2D40" w:rsidP="00EA2D40">
            <w:pPr>
              <w:jc w:val="center"/>
              <w:rPr>
                <w:rFonts w:cstheme="minorHAnsi"/>
                <w:sz w:val="20"/>
                <w:szCs w:val="20"/>
              </w:rPr>
            </w:pPr>
            <w:r w:rsidRPr="00EA2D40">
              <w:rPr>
                <w:rFonts w:cstheme="minorHAnsi"/>
                <w:sz w:val="20"/>
                <w:szCs w:val="20"/>
              </w:rPr>
              <w:t>88%</w:t>
            </w:r>
          </w:p>
        </w:tc>
      </w:tr>
      <w:tr w:rsidR="00EA2D40" w:rsidRPr="00EA2D40" w14:paraId="455B06A1" w14:textId="77777777" w:rsidTr="00EA2D40">
        <w:trPr>
          <w:trHeight w:val="300"/>
        </w:trPr>
        <w:tc>
          <w:tcPr>
            <w:tcW w:w="940" w:type="dxa"/>
            <w:noWrap/>
            <w:hideMark/>
          </w:tcPr>
          <w:p w14:paraId="4E79894A"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480" w:type="dxa"/>
            <w:noWrap/>
            <w:hideMark/>
          </w:tcPr>
          <w:p w14:paraId="2794ADA2" w14:textId="77777777" w:rsidR="00EA2D40" w:rsidRPr="00EA2D40" w:rsidRDefault="00EA2D40" w:rsidP="00EA2D40">
            <w:pPr>
              <w:jc w:val="center"/>
              <w:rPr>
                <w:rFonts w:cstheme="minorHAnsi"/>
                <w:sz w:val="20"/>
                <w:szCs w:val="20"/>
              </w:rPr>
            </w:pPr>
            <w:r w:rsidRPr="00EA2D40">
              <w:rPr>
                <w:rFonts w:cstheme="minorHAnsi"/>
                <w:sz w:val="20"/>
                <w:szCs w:val="20"/>
              </w:rPr>
              <w:t>2019</w:t>
            </w:r>
          </w:p>
        </w:tc>
        <w:tc>
          <w:tcPr>
            <w:tcW w:w="2020" w:type="dxa"/>
            <w:noWrap/>
            <w:hideMark/>
          </w:tcPr>
          <w:p w14:paraId="0DD5D9D9"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20" w:type="dxa"/>
            <w:noWrap/>
            <w:hideMark/>
          </w:tcPr>
          <w:p w14:paraId="601323EF" w14:textId="77777777" w:rsidR="00EA2D40" w:rsidRPr="00EA2D40" w:rsidRDefault="00EA2D40" w:rsidP="00EA2D40">
            <w:pPr>
              <w:jc w:val="center"/>
              <w:rPr>
                <w:rFonts w:cstheme="minorHAnsi"/>
                <w:sz w:val="20"/>
                <w:szCs w:val="20"/>
              </w:rPr>
            </w:pPr>
            <w:r w:rsidRPr="00EA2D40">
              <w:rPr>
                <w:rFonts w:cstheme="minorHAnsi"/>
                <w:sz w:val="20"/>
                <w:szCs w:val="20"/>
              </w:rPr>
              <w:t>79</w:t>
            </w:r>
          </w:p>
        </w:tc>
        <w:tc>
          <w:tcPr>
            <w:tcW w:w="1300" w:type="dxa"/>
            <w:noWrap/>
            <w:hideMark/>
          </w:tcPr>
          <w:p w14:paraId="59567A50" w14:textId="77777777" w:rsidR="00EA2D40" w:rsidRPr="00EA2D40" w:rsidRDefault="00EA2D40" w:rsidP="00EA2D40">
            <w:pPr>
              <w:jc w:val="center"/>
              <w:rPr>
                <w:rFonts w:cstheme="minorHAnsi"/>
                <w:sz w:val="20"/>
                <w:szCs w:val="20"/>
              </w:rPr>
            </w:pPr>
            <w:r w:rsidRPr="00EA2D40">
              <w:rPr>
                <w:rFonts w:cstheme="minorHAnsi"/>
                <w:sz w:val="20"/>
                <w:szCs w:val="20"/>
              </w:rPr>
              <w:t>461</w:t>
            </w:r>
          </w:p>
        </w:tc>
        <w:tc>
          <w:tcPr>
            <w:tcW w:w="940" w:type="dxa"/>
            <w:noWrap/>
            <w:hideMark/>
          </w:tcPr>
          <w:p w14:paraId="659F3DE1" w14:textId="77777777" w:rsidR="00EA2D40" w:rsidRPr="00EA2D40" w:rsidRDefault="00EA2D40" w:rsidP="00EA2D40">
            <w:pPr>
              <w:jc w:val="center"/>
              <w:rPr>
                <w:rFonts w:cstheme="minorHAnsi"/>
                <w:sz w:val="20"/>
                <w:szCs w:val="20"/>
              </w:rPr>
            </w:pPr>
            <w:r w:rsidRPr="00EA2D40">
              <w:rPr>
                <w:rFonts w:cstheme="minorHAnsi"/>
                <w:sz w:val="20"/>
                <w:szCs w:val="20"/>
              </w:rPr>
              <w:t>410</w:t>
            </w:r>
          </w:p>
        </w:tc>
        <w:tc>
          <w:tcPr>
            <w:tcW w:w="1520" w:type="dxa"/>
            <w:noWrap/>
            <w:hideMark/>
          </w:tcPr>
          <w:p w14:paraId="2915D361" w14:textId="77777777" w:rsidR="00EA2D40" w:rsidRPr="00EA2D40" w:rsidRDefault="00EA2D40" w:rsidP="00EA2D40">
            <w:pPr>
              <w:jc w:val="center"/>
              <w:rPr>
                <w:rFonts w:cstheme="minorHAnsi"/>
                <w:sz w:val="20"/>
                <w:szCs w:val="20"/>
              </w:rPr>
            </w:pPr>
            <w:r w:rsidRPr="00EA2D40">
              <w:rPr>
                <w:rFonts w:cstheme="minorHAnsi"/>
                <w:sz w:val="20"/>
                <w:szCs w:val="20"/>
              </w:rPr>
              <w:t>89%</w:t>
            </w:r>
          </w:p>
        </w:tc>
      </w:tr>
      <w:tr w:rsidR="00EA2D40" w:rsidRPr="00EA2D40" w14:paraId="6C5C0094" w14:textId="77777777" w:rsidTr="00EA2D40">
        <w:trPr>
          <w:trHeight w:val="300"/>
        </w:trPr>
        <w:tc>
          <w:tcPr>
            <w:tcW w:w="940" w:type="dxa"/>
            <w:noWrap/>
            <w:hideMark/>
          </w:tcPr>
          <w:p w14:paraId="501A38E3" w14:textId="77777777" w:rsidR="00EA2D40" w:rsidRPr="00EA2D40" w:rsidRDefault="00EA2D40" w:rsidP="00EA2D40">
            <w:pPr>
              <w:jc w:val="center"/>
              <w:rPr>
                <w:rFonts w:cstheme="minorHAnsi"/>
                <w:sz w:val="20"/>
                <w:szCs w:val="20"/>
              </w:rPr>
            </w:pPr>
            <w:r w:rsidRPr="00EA2D40">
              <w:rPr>
                <w:rFonts w:cstheme="minorHAnsi"/>
                <w:sz w:val="20"/>
                <w:szCs w:val="20"/>
              </w:rPr>
              <w:t>Alameda</w:t>
            </w:r>
          </w:p>
        </w:tc>
        <w:tc>
          <w:tcPr>
            <w:tcW w:w="1480" w:type="dxa"/>
            <w:noWrap/>
            <w:hideMark/>
          </w:tcPr>
          <w:p w14:paraId="1905339C" w14:textId="77777777" w:rsidR="00EA2D40" w:rsidRPr="00EA2D40" w:rsidRDefault="00EA2D40" w:rsidP="00EA2D40">
            <w:pPr>
              <w:jc w:val="center"/>
              <w:rPr>
                <w:rFonts w:cstheme="minorHAnsi"/>
                <w:sz w:val="20"/>
                <w:szCs w:val="20"/>
              </w:rPr>
            </w:pPr>
            <w:r w:rsidRPr="00EA2D40">
              <w:rPr>
                <w:rFonts w:cstheme="minorHAnsi"/>
                <w:sz w:val="20"/>
                <w:szCs w:val="20"/>
              </w:rPr>
              <w:t>2018</w:t>
            </w:r>
          </w:p>
        </w:tc>
        <w:tc>
          <w:tcPr>
            <w:tcW w:w="2020" w:type="dxa"/>
            <w:noWrap/>
            <w:hideMark/>
          </w:tcPr>
          <w:p w14:paraId="7799A4A9" w14:textId="77777777" w:rsidR="00EA2D40" w:rsidRPr="00EA2D40" w:rsidRDefault="00EA2D40" w:rsidP="00EA2D40">
            <w:pPr>
              <w:jc w:val="center"/>
              <w:rPr>
                <w:rFonts w:cstheme="minorHAnsi"/>
                <w:sz w:val="20"/>
                <w:szCs w:val="20"/>
              </w:rPr>
            </w:pPr>
            <w:r w:rsidRPr="00EA2D40">
              <w:rPr>
                <w:rFonts w:cstheme="minorHAnsi"/>
                <w:sz w:val="20"/>
                <w:szCs w:val="20"/>
              </w:rPr>
              <w:t>AVET Student Group</w:t>
            </w:r>
          </w:p>
        </w:tc>
        <w:tc>
          <w:tcPr>
            <w:tcW w:w="1120" w:type="dxa"/>
            <w:noWrap/>
            <w:hideMark/>
          </w:tcPr>
          <w:p w14:paraId="5C4EE20D" w14:textId="77777777" w:rsidR="00EA2D40" w:rsidRPr="00EA2D40" w:rsidRDefault="00EA2D40" w:rsidP="00EA2D40">
            <w:pPr>
              <w:jc w:val="center"/>
              <w:rPr>
                <w:rFonts w:cstheme="minorHAnsi"/>
                <w:sz w:val="20"/>
                <w:szCs w:val="20"/>
              </w:rPr>
            </w:pPr>
            <w:r w:rsidRPr="00EA2D40">
              <w:rPr>
                <w:rFonts w:cstheme="minorHAnsi"/>
                <w:sz w:val="20"/>
                <w:szCs w:val="20"/>
              </w:rPr>
              <w:t>86</w:t>
            </w:r>
          </w:p>
        </w:tc>
        <w:tc>
          <w:tcPr>
            <w:tcW w:w="1300" w:type="dxa"/>
            <w:noWrap/>
            <w:hideMark/>
          </w:tcPr>
          <w:p w14:paraId="5942F3E6" w14:textId="77777777" w:rsidR="00EA2D40" w:rsidRPr="00EA2D40" w:rsidRDefault="00EA2D40" w:rsidP="00EA2D40">
            <w:pPr>
              <w:jc w:val="center"/>
              <w:rPr>
                <w:rFonts w:cstheme="minorHAnsi"/>
                <w:sz w:val="20"/>
                <w:szCs w:val="20"/>
              </w:rPr>
            </w:pPr>
            <w:r w:rsidRPr="00EA2D40">
              <w:rPr>
                <w:rFonts w:cstheme="minorHAnsi"/>
                <w:sz w:val="20"/>
                <w:szCs w:val="20"/>
              </w:rPr>
              <w:t>492</w:t>
            </w:r>
          </w:p>
        </w:tc>
        <w:tc>
          <w:tcPr>
            <w:tcW w:w="940" w:type="dxa"/>
            <w:noWrap/>
            <w:hideMark/>
          </w:tcPr>
          <w:p w14:paraId="78939CF6" w14:textId="77777777" w:rsidR="00EA2D40" w:rsidRPr="00EA2D40" w:rsidRDefault="00EA2D40" w:rsidP="00EA2D40">
            <w:pPr>
              <w:jc w:val="center"/>
              <w:rPr>
                <w:rFonts w:cstheme="minorHAnsi"/>
                <w:sz w:val="20"/>
                <w:szCs w:val="20"/>
              </w:rPr>
            </w:pPr>
            <w:r w:rsidRPr="00EA2D40">
              <w:rPr>
                <w:rFonts w:cstheme="minorHAnsi"/>
                <w:sz w:val="20"/>
                <w:szCs w:val="20"/>
              </w:rPr>
              <w:t>416</w:t>
            </w:r>
          </w:p>
        </w:tc>
        <w:tc>
          <w:tcPr>
            <w:tcW w:w="1520" w:type="dxa"/>
            <w:noWrap/>
            <w:hideMark/>
          </w:tcPr>
          <w:p w14:paraId="51F98479" w14:textId="77777777" w:rsidR="00EA2D40" w:rsidRPr="00EA2D40" w:rsidRDefault="00EA2D40" w:rsidP="00EA2D40">
            <w:pPr>
              <w:jc w:val="center"/>
              <w:rPr>
                <w:rFonts w:cstheme="minorHAnsi"/>
                <w:sz w:val="20"/>
                <w:szCs w:val="20"/>
              </w:rPr>
            </w:pPr>
            <w:r w:rsidRPr="00EA2D40">
              <w:rPr>
                <w:rFonts w:cstheme="minorHAnsi"/>
                <w:sz w:val="20"/>
                <w:szCs w:val="20"/>
              </w:rPr>
              <w:t>85%</w:t>
            </w:r>
          </w:p>
        </w:tc>
      </w:tr>
    </w:tbl>
    <w:p w14:paraId="0B226C73" w14:textId="77777777" w:rsidR="00EA2D40" w:rsidRPr="00D921B3" w:rsidRDefault="00EA2D40" w:rsidP="00D921B3">
      <w:pPr>
        <w:jc w:val="left"/>
        <w:rPr>
          <w:rFonts w:cstheme="minorHAnsi"/>
        </w:rPr>
      </w:pP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3B54956E" w14:textId="5919D169" w:rsidR="00EA2D40" w:rsidRPr="00D921B3" w:rsidRDefault="00B462D2" w:rsidP="0028374C">
            <w:pPr>
              <w:jc w:val="left"/>
              <w:rPr>
                <w:rFonts w:cstheme="minorHAnsi"/>
              </w:rPr>
            </w:pPr>
            <w:r>
              <w:rPr>
                <w:rFonts w:cstheme="minorHAnsi"/>
              </w:rPr>
              <w:t>During the 2019 -2020</w:t>
            </w:r>
            <w:r w:rsidR="0028374C">
              <w:rPr>
                <w:rFonts w:cstheme="minorHAnsi"/>
              </w:rPr>
              <w:t xml:space="preserve"> years, the</w:t>
            </w:r>
            <w:r>
              <w:rPr>
                <w:rFonts w:cstheme="minorHAnsi"/>
              </w:rPr>
              <w:t xml:space="preserve"> course</w:t>
            </w:r>
            <w:r w:rsidR="0028374C">
              <w:rPr>
                <w:rFonts w:cstheme="minorHAnsi"/>
              </w:rPr>
              <w:t xml:space="preserve"> retention rate has exceeded</w:t>
            </w:r>
            <w:r>
              <w:rPr>
                <w:rFonts w:cstheme="minorHAnsi"/>
              </w:rPr>
              <w:t xml:space="preserve"> College of Alameda course retention rate at its highest of 89%. During </w:t>
            </w:r>
            <w:r w:rsidR="0028374C">
              <w:rPr>
                <w:rFonts w:cstheme="minorHAnsi"/>
              </w:rPr>
              <w:t xml:space="preserve">the </w:t>
            </w:r>
            <w:r>
              <w:rPr>
                <w:rFonts w:cstheme="minorHAnsi"/>
              </w:rPr>
              <w:t xml:space="preserve">2021 </w:t>
            </w:r>
            <w:r w:rsidR="0028374C">
              <w:rPr>
                <w:rFonts w:cstheme="minorHAnsi"/>
              </w:rPr>
              <w:t xml:space="preserve">year, </w:t>
            </w:r>
            <w:r w:rsidR="004E7FAE">
              <w:rPr>
                <w:rFonts w:cstheme="minorHAnsi"/>
              </w:rPr>
              <w:t xml:space="preserve">the course retention rate dropped to 79%. </w:t>
            </w:r>
            <w:r w:rsidR="0028374C">
              <w:rPr>
                <w:rFonts w:cstheme="minorHAnsi"/>
              </w:rPr>
              <w:t xml:space="preserve">  </w:t>
            </w:r>
          </w:p>
        </w:tc>
      </w:tr>
    </w:tbl>
    <w:p w14:paraId="05EB3A01" w14:textId="77777777" w:rsidR="00707472" w:rsidRPr="00D921B3" w:rsidRDefault="00707472" w:rsidP="00D921B3">
      <w:pPr>
        <w:jc w:val="left"/>
        <w:rPr>
          <w:rFonts w:cstheme="minorHAnsi"/>
          <w:b/>
          <w:bCs/>
        </w:rPr>
      </w:pPr>
    </w:p>
    <w:p w14:paraId="25212669" w14:textId="2F86B785" w:rsidR="004C7A75" w:rsidRPr="00D921B3" w:rsidRDefault="00707472" w:rsidP="00D921B3">
      <w:pPr>
        <w:jc w:val="left"/>
        <w:rPr>
          <w:rFonts w:cstheme="minorHAnsi"/>
          <w:b/>
          <w:bCs/>
        </w:rPr>
      </w:pPr>
      <w:r w:rsidRPr="00D921B3">
        <w:rPr>
          <w:rFonts w:cstheme="minorHAnsi"/>
          <w:b/>
          <w:bCs/>
        </w:rPr>
        <w:t>Equity</w:t>
      </w:r>
    </w:p>
    <w:p w14:paraId="3F66F385" w14:textId="77777777" w:rsidR="00E075A0" w:rsidRPr="00E075A0" w:rsidRDefault="00E075A0" w:rsidP="00E075A0">
      <w:pPr>
        <w:jc w:val="left"/>
        <w:rPr>
          <w:rFonts w:cstheme="minorHAnsi"/>
        </w:rPr>
      </w:pPr>
      <w:r w:rsidRPr="00E075A0">
        <w:rPr>
          <w:rFonts w:cstheme="minorHAnsi"/>
        </w:rPr>
        <w:t xml:space="preserve">College of Alameda continues to focus on access, equity, and success. The goal is to create an inclusive environment where all students can thrive and meet their education and career goals. In 2019 the Student Service Equity team </w:t>
      </w:r>
      <w:hyperlink r:id="rId11" w:history="1">
        <w:r w:rsidRPr="00E075A0">
          <w:rPr>
            <w:rStyle w:val="Hyperlink"/>
            <w:rFonts w:cstheme="minorHAnsi"/>
          </w:rPr>
          <w:t>analyzed data</w:t>
        </w:r>
      </w:hyperlink>
      <w:r w:rsidRPr="00E075A0">
        <w:rPr>
          <w:rFonts w:cstheme="minorHAnsi"/>
        </w:rPr>
        <w:t xml:space="preserve"> to identify groups that were disproportionately impacted in access, persistence, transfer rate, completion of transfer level English and Math, and goal completion. </w:t>
      </w:r>
    </w:p>
    <w:p w14:paraId="6B98FC45" w14:textId="76DC2C89"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Access:</w:t>
      </w:r>
      <w:r w:rsidRPr="00E075A0">
        <w:rPr>
          <w:rFonts w:cstheme="minorHAnsi"/>
          <w:sz w:val="20"/>
          <w:szCs w:val="20"/>
        </w:rPr>
        <w:t xml:space="preserve"> Black</w:t>
      </w:r>
      <w:r>
        <w:rPr>
          <w:rFonts w:cstheme="minorHAnsi"/>
          <w:sz w:val="20"/>
          <w:szCs w:val="20"/>
        </w:rPr>
        <w:t>/</w:t>
      </w:r>
      <w:r w:rsidRPr="00E075A0">
        <w:rPr>
          <w:rFonts w:cstheme="minorHAnsi"/>
          <w:sz w:val="20"/>
          <w:szCs w:val="20"/>
        </w:rPr>
        <w:t>African American male students enroll at disproportionate rates. Additionally, female Black</w:t>
      </w:r>
      <w:r>
        <w:rPr>
          <w:rFonts w:cstheme="minorHAnsi"/>
          <w:sz w:val="20"/>
          <w:szCs w:val="20"/>
        </w:rPr>
        <w:t>/</w:t>
      </w:r>
      <w:r w:rsidRPr="00E075A0">
        <w:rPr>
          <w:rFonts w:cstheme="minorHAnsi"/>
          <w:sz w:val="20"/>
          <w:szCs w:val="20"/>
        </w:rPr>
        <w:t xml:space="preserve"> African American, disabled and LGBTQIA students enroll at disproportionate rates. </w:t>
      </w:r>
    </w:p>
    <w:p w14:paraId="6712E3CB"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Persistence:</w:t>
      </w:r>
      <w:r w:rsidRPr="00E075A0">
        <w:rPr>
          <w:rFonts w:cstheme="minorHAnsi"/>
          <w:sz w:val="20"/>
          <w:szCs w:val="20"/>
        </w:rPr>
        <w:t xml:space="preserve"> Female Black or African American, Latinx, foster youth, LGBTQIA and veteran students are persisting at disproportionate rates. Male Black or African American, foster youth and LGBTQIA students are also persisting at disproportionate rates. The most significant retention equity gap was with male foster youth students. </w:t>
      </w:r>
    </w:p>
    <w:p w14:paraId="5AB9BEFB" w14:textId="77777777"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Transfer to a Four-Year Institution:</w:t>
      </w:r>
      <w:r w:rsidRPr="00E075A0">
        <w:rPr>
          <w:rFonts w:cstheme="minorHAnsi"/>
          <w:sz w:val="20"/>
          <w:szCs w:val="20"/>
        </w:rPr>
        <w:t xml:space="preserve">  Female American Indian or Alaska Native, Native Hawaiian or other Pacific Islander and disabled students transferred at disproportionate rates. American Indian or Alaska Native, Black or African American, Filipino, Latinx, disabled, first generation and foster youth males also transferred at disproportionate rates. </w:t>
      </w:r>
    </w:p>
    <w:p w14:paraId="22E09407" w14:textId="7EFA4B14"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Complete both Transfer-level Math and English within the first year:</w:t>
      </w:r>
      <w:r w:rsidRPr="00E075A0">
        <w:rPr>
          <w:rFonts w:cstheme="minorHAnsi"/>
          <w:sz w:val="20"/>
          <w:szCs w:val="20"/>
        </w:rPr>
        <w:t xml:space="preserve"> Female foster youth complete both transfer level math and English at disproportionate rates. Additionally, Black</w:t>
      </w:r>
      <w:r>
        <w:rPr>
          <w:rFonts w:cstheme="minorHAnsi"/>
          <w:sz w:val="20"/>
          <w:szCs w:val="20"/>
        </w:rPr>
        <w:t>/</w:t>
      </w:r>
      <w:r w:rsidRPr="00E075A0">
        <w:rPr>
          <w:rFonts w:cstheme="minorHAnsi"/>
          <w:sz w:val="20"/>
          <w:szCs w:val="20"/>
        </w:rPr>
        <w:t xml:space="preserve">African American, Latinx, disabled, economically disadvantaged, foster youth and LGBTQIA males transfer at disproportionate rates. </w:t>
      </w:r>
    </w:p>
    <w:p w14:paraId="6A93A647" w14:textId="7980C21A" w:rsidR="00E075A0" w:rsidRPr="00E075A0" w:rsidRDefault="00E075A0" w:rsidP="00E075A0">
      <w:pPr>
        <w:pStyle w:val="ListParagraph"/>
        <w:numPr>
          <w:ilvl w:val="0"/>
          <w:numId w:val="14"/>
        </w:numPr>
        <w:jc w:val="left"/>
        <w:rPr>
          <w:rFonts w:cstheme="minorHAnsi"/>
          <w:sz w:val="20"/>
          <w:szCs w:val="20"/>
        </w:rPr>
      </w:pPr>
      <w:r w:rsidRPr="00E075A0">
        <w:rPr>
          <w:rFonts w:cstheme="minorHAnsi"/>
          <w:b/>
          <w:bCs/>
          <w:sz w:val="20"/>
          <w:szCs w:val="20"/>
        </w:rPr>
        <w:t>Vision 2022 Goal Completion:</w:t>
      </w:r>
      <w:r w:rsidRPr="00E075A0">
        <w:rPr>
          <w:rFonts w:cstheme="minorHAnsi"/>
          <w:sz w:val="20"/>
          <w:szCs w:val="20"/>
        </w:rPr>
        <w:t xml:space="preserve"> Asian, Black</w:t>
      </w:r>
      <w:r>
        <w:rPr>
          <w:rFonts w:cstheme="minorHAnsi"/>
          <w:sz w:val="20"/>
          <w:szCs w:val="20"/>
        </w:rPr>
        <w:t>/</w:t>
      </w:r>
      <w:r w:rsidRPr="00E075A0">
        <w:rPr>
          <w:rFonts w:cstheme="minorHAnsi"/>
          <w:sz w:val="20"/>
          <w:szCs w:val="20"/>
        </w:rPr>
        <w:t>African American, Latinx, foster youth, LGBTQIA, and veteran female students complete at disproportionate rates. American Indian or Alaska Native and LGBTQIA male students are also completing at disproportionate rates.</w:t>
      </w:r>
    </w:p>
    <w:p w14:paraId="184F2105" w14:textId="6BD88B24" w:rsidR="00E075A0" w:rsidRPr="00E075A0" w:rsidRDefault="00E075A0" w:rsidP="00E075A0">
      <w:pPr>
        <w:jc w:val="left"/>
        <w:rPr>
          <w:rFonts w:cstheme="minorHAnsi"/>
        </w:rPr>
      </w:pPr>
      <w:r w:rsidRPr="00E075A0">
        <w:rPr>
          <w:rFonts w:cstheme="minorHAnsi"/>
        </w:rPr>
        <w:t>Discuss how your program</w:t>
      </w:r>
      <w:r>
        <w:rPr>
          <w:rFonts w:cstheme="minorHAnsi"/>
        </w:rPr>
        <w:t xml:space="preserve"> has</w:t>
      </w:r>
      <w:r w:rsidRPr="00E075A0">
        <w:rPr>
          <w:rFonts w:cstheme="minorHAnsi"/>
        </w:rPr>
        <w:t xml:space="preserve"> worked to address these equity gaps. Incorporate examples of your program data where applicable. </w:t>
      </w:r>
    </w:p>
    <w:p w14:paraId="1EB9A91C" w14:textId="0B23F1E1" w:rsidR="00E075A0" w:rsidRPr="00E075A0" w:rsidRDefault="00E075A0" w:rsidP="00E075A0">
      <w:pPr>
        <w:pStyle w:val="NoSpacing"/>
      </w:pPr>
    </w:p>
    <w:tbl>
      <w:tblPr>
        <w:tblStyle w:val="TableGrid"/>
        <w:tblW w:w="9319" w:type="dxa"/>
        <w:tblLook w:val="04A0" w:firstRow="1" w:lastRow="0" w:firstColumn="1" w:lastColumn="0" w:noHBand="0" w:noVBand="1"/>
      </w:tblPr>
      <w:tblGrid>
        <w:gridCol w:w="9319"/>
      </w:tblGrid>
      <w:tr w:rsidR="00F75149" w:rsidRPr="00D921B3" w14:paraId="50B298ED" w14:textId="77777777" w:rsidTr="00AB0FDC">
        <w:trPr>
          <w:trHeight w:val="1631"/>
        </w:trPr>
        <w:tc>
          <w:tcPr>
            <w:tcW w:w="9319" w:type="dxa"/>
          </w:tcPr>
          <w:p w14:paraId="5F0B05F3" w14:textId="77777777" w:rsidR="00751AB6" w:rsidRPr="00D921B3" w:rsidRDefault="00751AB6" w:rsidP="00D921B3">
            <w:pPr>
              <w:jc w:val="left"/>
              <w:rPr>
                <w:rFonts w:cstheme="minorHAnsi"/>
              </w:rPr>
            </w:pPr>
          </w:p>
          <w:p w14:paraId="724809F3" w14:textId="7009348E" w:rsidR="00751AB6" w:rsidRPr="00D921B3" w:rsidRDefault="00071D79" w:rsidP="00D921B3">
            <w:pPr>
              <w:jc w:val="left"/>
              <w:rPr>
                <w:rFonts w:cstheme="minorHAnsi"/>
              </w:rPr>
            </w:pPr>
            <w:r>
              <w:rPr>
                <w:rFonts w:ascii="Helvetica Neue" w:hAnsi="Helvetica Neue"/>
                <w:color w:val="212529"/>
                <w:shd w:val="clear" w:color="auto" w:fill="FFFFFF"/>
              </w:rPr>
              <w:t xml:space="preserve">The VRC </w:t>
            </w:r>
            <w:r>
              <w:rPr>
                <w:rFonts w:ascii="Helvetica Neue" w:hAnsi="Helvetica Neue"/>
                <w:color w:val="212529"/>
                <w:shd w:val="clear" w:color="auto" w:fill="FFFFFF"/>
              </w:rPr>
              <w:t>Counselor provide support to students by using a number of tools and resources, including, but not limited to the following: - Course Planning/Advising - Student Education Plans (SEP) - Transcript Review/Initial Evaluation - ASSIST (Major prep) - General Education Patterns - COA GE/CSU GE/IGETC - LRC (Learning Resource Center/Tutoring) - Health Services - Financial Aid - Program Referrals - EOPS/Puente/Umoja/MESA (Math Engineering Science Achievement) - Transfer Center - Veterans Resources - Alameda/Oakland Promise - SAS (formerly Services for Student with Disabilities) - College Application assistance - Excess Units/Probations/Dismissal/Prerequisite Clearance - Academic Renewal/CSU GE/IGETC Certification - Associate Degree/Certificate Petition</w:t>
            </w:r>
          </w:p>
        </w:tc>
      </w:tr>
    </w:tbl>
    <w:p w14:paraId="029FFC37" w14:textId="16D6C872" w:rsidR="00E075A0" w:rsidRDefault="00E075A0" w:rsidP="00D921B3">
      <w:pPr>
        <w:jc w:val="left"/>
        <w:rPr>
          <w:rFonts w:cstheme="minorHAnsi"/>
          <w:b/>
          <w:bCs/>
        </w:rPr>
      </w:pPr>
    </w:p>
    <w:p w14:paraId="48D4862B" w14:textId="1C2C07C6" w:rsidR="00EA2D40" w:rsidRDefault="00EA2D40" w:rsidP="00D921B3">
      <w:pPr>
        <w:jc w:val="left"/>
        <w:rPr>
          <w:rFonts w:cstheme="minorHAnsi"/>
          <w:b/>
          <w:bCs/>
        </w:rPr>
      </w:pPr>
    </w:p>
    <w:p w14:paraId="6032FCD6" w14:textId="1F1A89A4" w:rsidR="00EA2D40" w:rsidRDefault="00EA2D40" w:rsidP="00D921B3">
      <w:pPr>
        <w:jc w:val="left"/>
        <w:rPr>
          <w:rFonts w:cstheme="minorHAnsi"/>
          <w:b/>
          <w:bCs/>
        </w:rPr>
      </w:pPr>
    </w:p>
    <w:p w14:paraId="581F21A2" w14:textId="77777777" w:rsidR="00EA2D40" w:rsidRDefault="00EA2D40" w:rsidP="00D921B3">
      <w:pPr>
        <w:jc w:val="left"/>
        <w:rPr>
          <w:rFonts w:cstheme="minorHAnsi"/>
          <w:b/>
          <w:bCs/>
        </w:rPr>
      </w:pPr>
    </w:p>
    <w:p w14:paraId="307ECD39" w14:textId="51494319" w:rsidR="00792E7B" w:rsidRDefault="004A25AB" w:rsidP="00D921B3">
      <w:pPr>
        <w:jc w:val="left"/>
        <w:rPr>
          <w:rFonts w:cstheme="minorHAnsi"/>
          <w:b/>
          <w:bCs/>
        </w:rPr>
      </w:pPr>
      <w:r w:rsidRPr="00D921B3">
        <w:rPr>
          <w:rFonts w:cstheme="minorHAnsi"/>
          <w:b/>
          <w:bCs/>
        </w:rPr>
        <w:t>Student Learning Outcomes Assessment</w:t>
      </w:r>
    </w:p>
    <w:p w14:paraId="7B622B12" w14:textId="48A7B95F" w:rsidR="007A7232" w:rsidRPr="007A7232" w:rsidRDefault="00EA2D40" w:rsidP="007A7232">
      <w:pPr>
        <w:jc w:val="left"/>
        <w:rPr>
          <w:rFonts w:cstheme="minorHAnsi"/>
        </w:rPr>
      </w:pPr>
      <w:r w:rsidRPr="00EA2D40">
        <w:rPr>
          <w:rFonts w:cstheme="minorHAnsi"/>
        </w:rPr>
        <w:t>List your Service Area Outcomes (SAOs) and/or Student Learning Outcomes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7A7232">
        <w:trPr>
          <w:trHeight w:val="1181"/>
        </w:trPr>
        <w:tc>
          <w:tcPr>
            <w:tcW w:w="9492" w:type="dxa"/>
          </w:tcPr>
          <w:p w14:paraId="2F369599" w14:textId="77777777" w:rsidR="007A7232" w:rsidRDefault="00216A5C" w:rsidP="00216A5C">
            <w:pPr>
              <w:pStyle w:val="ListParagraph"/>
              <w:numPr>
                <w:ilvl w:val="0"/>
                <w:numId w:val="20"/>
              </w:numPr>
              <w:jc w:val="left"/>
              <w:rPr>
                <w:rFonts w:cstheme="minorHAnsi"/>
              </w:rPr>
            </w:pPr>
            <w:r w:rsidRPr="00216A5C">
              <w:rPr>
                <w:rFonts w:cstheme="minorHAnsi"/>
              </w:rPr>
              <w:t>Students will have a defined educational goal by the second semester of their enrollment measured by the number of updated Ed Plans</w:t>
            </w:r>
          </w:p>
          <w:p w14:paraId="1EA9EF51" w14:textId="77777777" w:rsidR="00216A5C" w:rsidRDefault="00216A5C" w:rsidP="00216A5C">
            <w:pPr>
              <w:pStyle w:val="ListParagraph"/>
              <w:numPr>
                <w:ilvl w:val="0"/>
                <w:numId w:val="20"/>
              </w:numPr>
              <w:jc w:val="left"/>
              <w:rPr>
                <w:rFonts w:cstheme="minorHAnsi"/>
              </w:rPr>
            </w:pPr>
            <w:r w:rsidRPr="00216A5C">
              <w:rPr>
                <w:rFonts w:cstheme="minorHAnsi"/>
              </w:rPr>
              <w:t>Students will be knowledgeable about campus resources as measured by student survey</w:t>
            </w:r>
          </w:p>
          <w:p w14:paraId="2EE86A35" w14:textId="50E589AF" w:rsidR="00216A5C" w:rsidRPr="00216A5C" w:rsidRDefault="00216A5C" w:rsidP="00216A5C">
            <w:pPr>
              <w:pStyle w:val="ListParagraph"/>
              <w:numPr>
                <w:ilvl w:val="0"/>
                <w:numId w:val="20"/>
              </w:numPr>
              <w:jc w:val="left"/>
              <w:rPr>
                <w:rFonts w:cstheme="minorHAnsi"/>
              </w:rPr>
            </w:pPr>
            <w:r>
              <w:rPr>
                <w:rFonts w:ascii="Helvetica Neue" w:hAnsi="Helvetica Neue"/>
                <w:color w:val="212529"/>
                <w:shd w:val="clear" w:color="auto" w:fill="FFFFFF"/>
              </w:rPr>
              <w:t> measured by the number of students who are certified by the 4th week of school</w:t>
            </w:r>
          </w:p>
        </w:tc>
      </w:tr>
    </w:tbl>
    <w:p w14:paraId="08CDDFC6" w14:textId="77777777" w:rsidR="007A7232" w:rsidRPr="007A7232" w:rsidRDefault="007A7232" w:rsidP="007A7232">
      <w:pPr>
        <w:jc w:val="left"/>
        <w:rPr>
          <w:rFonts w:cstheme="minorHAnsi"/>
        </w:rPr>
      </w:pPr>
    </w:p>
    <w:p w14:paraId="5D0E61A8" w14:textId="77777777" w:rsidR="007A7232" w:rsidRPr="007A7232" w:rsidRDefault="007A7232" w:rsidP="007A7232">
      <w:pPr>
        <w:jc w:val="left"/>
        <w:rPr>
          <w:rFonts w:cstheme="minorHAnsi"/>
        </w:rPr>
      </w:pPr>
      <w:r w:rsidRPr="007A7232">
        <w:rPr>
          <w:rFonts w:cstheme="minorHAnsi"/>
        </w:rPr>
        <w:t>Please provide a high-level summary and your program’s interpretation of your 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0AA2D23A" w14:textId="371C1062" w:rsidR="007A7232" w:rsidRPr="007A7232" w:rsidRDefault="00216A5C" w:rsidP="007A7232">
            <w:pPr>
              <w:spacing w:after="160" w:line="252" w:lineRule="auto"/>
              <w:jc w:val="left"/>
              <w:rPr>
                <w:rFonts w:cstheme="minorHAnsi"/>
              </w:rPr>
            </w:pPr>
            <w:r w:rsidRPr="00216A5C">
              <w:rPr>
                <w:rFonts w:cstheme="minorHAnsi"/>
              </w:rPr>
              <w:t>More students are attending orientation. We are having a higher success rate because we are offering more orientation times and reaching out to students to remind them.</w:t>
            </w:r>
            <w:r>
              <w:rPr>
                <w:rFonts w:cstheme="minorHAnsi"/>
              </w:rPr>
              <w:t xml:space="preserve"> </w:t>
            </w:r>
            <w:r w:rsidR="00071D79">
              <w:rPr>
                <w:rFonts w:cstheme="minorHAnsi"/>
              </w:rPr>
              <w:t xml:space="preserve">Students are taking courses needed towards their academic goal. This fosters higher success rates among students achieving their academic goal faster and maximinning their VA benefits. </w:t>
            </w: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455846E2" w14:textId="77777777" w:rsidR="007A7232" w:rsidRDefault="00216A5C" w:rsidP="007A7232">
            <w:pPr>
              <w:spacing w:after="160" w:line="252" w:lineRule="auto"/>
              <w:jc w:val="left"/>
              <w:rPr>
                <w:rFonts w:ascii="Helvetica Neue" w:hAnsi="Helvetica Neue"/>
                <w:color w:val="212529"/>
                <w:shd w:val="clear" w:color="auto" w:fill="FFFFFF"/>
              </w:rPr>
            </w:pPr>
            <w:r>
              <w:rPr>
                <w:rFonts w:ascii="Helvetica Neue" w:hAnsi="Helvetica Neue"/>
                <w:color w:val="212529"/>
                <w:shd w:val="clear" w:color="auto" w:fill="FFFFFF"/>
              </w:rPr>
              <w:t>increased awareness among faculty and staff</w:t>
            </w:r>
            <w:r>
              <w:rPr>
                <w:rFonts w:ascii="Helvetica Neue" w:hAnsi="Helvetica Neue"/>
                <w:color w:val="212529"/>
                <w:shd w:val="clear" w:color="auto" w:fill="FFFFFF"/>
              </w:rPr>
              <w:t xml:space="preserve">, </w:t>
            </w:r>
            <w:r>
              <w:rPr>
                <w:rFonts w:ascii="Helvetica Neue" w:hAnsi="Helvetica Neue"/>
                <w:color w:val="212529"/>
                <w:shd w:val="clear" w:color="auto" w:fill="FFFFFF"/>
              </w:rPr>
              <w:t xml:space="preserve">increased knowledge or skill in a particular area related to the program, </w:t>
            </w:r>
            <w:r>
              <w:rPr>
                <w:rFonts w:ascii="Helvetica Neue" w:hAnsi="Helvetica Neue"/>
                <w:color w:val="212529"/>
                <w:shd w:val="clear" w:color="auto" w:fill="FFFFFF"/>
              </w:rPr>
              <w:t>and</w:t>
            </w:r>
            <w:r>
              <w:rPr>
                <w:rFonts w:ascii="Helvetica Neue" w:hAnsi="Helvetica Neue"/>
                <w:color w:val="212529"/>
                <w:shd w:val="clear" w:color="auto" w:fill="FFFFFF"/>
              </w:rPr>
              <w:t xml:space="preserve"> student satisfaction with </w:t>
            </w:r>
            <w:r>
              <w:rPr>
                <w:rFonts w:ascii="Helvetica Neue" w:hAnsi="Helvetica Neue"/>
                <w:color w:val="212529"/>
                <w:shd w:val="clear" w:color="auto" w:fill="FFFFFF"/>
              </w:rPr>
              <w:t xml:space="preserve">VRC </w:t>
            </w:r>
            <w:r>
              <w:rPr>
                <w:rFonts w:ascii="Helvetica Neue" w:hAnsi="Helvetica Neue"/>
                <w:color w:val="212529"/>
                <w:shd w:val="clear" w:color="auto" w:fill="FFFFFF"/>
              </w:rPr>
              <w:t>program</w:t>
            </w:r>
            <w:r>
              <w:rPr>
                <w:rFonts w:ascii="Helvetica Neue" w:hAnsi="Helvetica Neue"/>
                <w:color w:val="212529"/>
                <w:shd w:val="clear" w:color="auto" w:fill="FFFFFF"/>
              </w:rPr>
              <w:t>.</w:t>
            </w:r>
          </w:p>
          <w:p w14:paraId="727424B3" w14:textId="223F8247" w:rsidR="00216A5C" w:rsidRPr="007A7232" w:rsidRDefault="00216A5C" w:rsidP="007A7232">
            <w:pPr>
              <w:spacing w:after="160" w:line="252" w:lineRule="auto"/>
              <w:jc w:val="left"/>
              <w:rPr>
                <w:rFonts w:cstheme="minorHAnsi"/>
              </w:rPr>
            </w:pPr>
            <w:r w:rsidRPr="00216A5C">
              <w:rPr>
                <w:rFonts w:cstheme="minorHAnsi"/>
              </w:rPr>
              <w:t xml:space="preserve">We are reaching program level success rate. We will continue being </w:t>
            </w:r>
            <w:r w:rsidRPr="00216A5C">
              <w:rPr>
                <w:rFonts w:cstheme="minorHAnsi"/>
              </w:rPr>
              <w:t>persistent</w:t>
            </w:r>
            <w:r w:rsidRPr="00216A5C">
              <w:rPr>
                <w:rFonts w:cstheme="minorHAnsi"/>
              </w:rPr>
              <w:t xml:space="preserve"> and supporting students.</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52BC564D" w14:textId="77777777" w:rsidR="00571474" w:rsidRPr="00571474" w:rsidRDefault="00571474" w:rsidP="00571474">
      <w:pPr>
        <w:rPr>
          <w:rFonts w:cstheme="minorHAnsi"/>
        </w:rPr>
      </w:pPr>
      <w:r w:rsidRPr="00571474">
        <w:rPr>
          <w:rFonts w:cstheme="minorHAnsi"/>
        </w:rPr>
        <w:t xml:space="preserve">For more information on awards: </w:t>
      </w:r>
      <w:hyperlink r:id="rId12" w:history="1">
        <w:r w:rsidRPr="00571474">
          <w:rPr>
            <w:rStyle w:val="Hyperlink"/>
            <w:rFonts w:cstheme="minorHAnsi"/>
            <w:b/>
            <w:bCs/>
            <w:color w:val="FF0000"/>
          </w:rPr>
          <w:t>Degrees &amp; Certificates Dashboard link</w:t>
        </w:r>
      </w:hyperlink>
    </w:p>
    <w:p w14:paraId="3E568BE1" w14:textId="77777777" w:rsidR="00571474" w:rsidRPr="00571474" w:rsidRDefault="00571474" w:rsidP="00571474">
      <w:pPr>
        <w:rPr>
          <w:rFonts w:cstheme="minorHAnsi"/>
        </w:rPr>
      </w:pPr>
      <w:r w:rsidRPr="00571474">
        <w:rPr>
          <w:rFonts w:cstheme="minorHAnsi"/>
        </w:rPr>
        <w:lastRenderedPageBreak/>
        <w:t xml:space="preserve">Increasing the number of students who complete a certificate or degree is a shared goal across CoA’s Ed Master Plan Goals, PCCD Goals, the Chancellor’s Office Vision for Success, the Student-Centered Funding Formula, and Guided Pathways. </w:t>
      </w:r>
    </w:p>
    <w:p w14:paraId="1941130D" w14:textId="5AAA26C2" w:rsidR="00571474" w:rsidRDefault="00571474" w:rsidP="00571474">
      <w:pPr>
        <w:rPr>
          <w:rFonts w:cstheme="minorHAnsi"/>
        </w:rPr>
      </w:pPr>
      <w:r w:rsidRPr="00571474">
        <w:rPr>
          <w:rFonts w:cstheme="minorHAnsi"/>
        </w:rPr>
        <w:t>How can your program contribute to increasing the number of certificates and degrees awarded over the next three years?</w:t>
      </w:r>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71DF733F" w14:textId="2533843E" w:rsidR="00571474" w:rsidRDefault="00071D79" w:rsidP="00571474">
            <w:pPr>
              <w:rPr>
                <w:rFonts w:cstheme="minorHAnsi"/>
              </w:rPr>
            </w:pPr>
            <w:r>
              <w:rPr>
                <w:rFonts w:cstheme="minorHAnsi"/>
              </w:rPr>
              <w:t xml:space="preserve">The VRC assist with increasing the number of certificates and degrees awarded by mandating that veteran students meeting with the counselor twice a semester and attend one orientation. </w:t>
            </w: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12DA4684" w:rsidR="00521806" w:rsidRPr="00D921B3" w:rsidRDefault="00D90F1F" w:rsidP="00D921B3">
      <w:pPr>
        <w:jc w:val="left"/>
        <w:rPr>
          <w:rFonts w:cstheme="minorHAnsi"/>
        </w:rPr>
      </w:pPr>
      <w:r w:rsidRPr="00D921B3">
        <w:rPr>
          <w:rFonts w:cstheme="minorHAnsi"/>
        </w:rPr>
        <w:t xml:space="preserve">How </w:t>
      </w:r>
      <w:r w:rsidR="0037496E" w:rsidRPr="00D921B3">
        <w:rPr>
          <w:rFonts w:cstheme="minorHAnsi"/>
        </w:rPr>
        <w:t>your department has</w:t>
      </w:r>
      <w:r w:rsidRPr="00D921B3">
        <w:rPr>
          <w:rFonts w:cstheme="minorHAnsi"/>
        </w:rPr>
        <w:t xml:space="preserve"> </w:t>
      </w:r>
      <w:proofErr w:type="spellStart"/>
      <w:r w:rsidRPr="00D921B3">
        <w:rPr>
          <w:rFonts w:cstheme="minorHAnsi"/>
        </w:rPr>
        <w:t>has</w:t>
      </w:r>
      <w:proofErr w:type="spellEnd"/>
      <w:r w:rsidRPr="00D921B3">
        <w:rPr>
          <w:rFonts w:cstheme="minorHAnsi"/>
        </w:rPr>
        <w:t xml:space="preserve"> participated in college wide</w:t>
      </w:r>
      <w:r w:rsidR="00521806" w:rsidRPr="00D921B3">
        <w:rPr>
          <w:rFonts w:cstheme="minorHAnsi"/>
        </w:rPr>
        <w:t xml:space="preserve"> efforts such as committees, presentations, and departmental activities</w:t>
      </w:r>
      <w:r w:rsidRPr="00D921B3">
        <w:rPr>
          <w:rFonts w:cstheme="minorHAnsi"/>
        </w:rPr>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708565B4" w14:textId="36C1C8B5" w:rsidR="00751AB6" w:rsidRPr="00D921B3" w:rsidRDefault="004A38B8" w:rsidP="00D921B3">
            <w:pPr>
              <w:jc w:val="left"/>
              <w:rPr>
                <w:rFonts w:cstheme="minorHAnsi"/>
              </w:rPr>
            </w:pPr>
            <w:r>
              <w:rPr>
                <w:rFonts w:cstheme="minorHAnsi"/>
              </w:rPr>
              <w:t xml:space="preserve">By </w:t>
            </w:r>
            <w:r w:rsidR="00141D4C">
              <w:rPr>
                <w:rFonts w:cstheme="minorHAnsi"/>
              </w:rPr>
              <w:t>joining Committees (SEA &amp; Professional Development</w:t>
            </w:r>
            <w:proofErr w:type="gramStart"/>
            <w:r w:rsidR="00141D4C">
              <w:rPr>
                <w:rFonts w:cstheme="minorHAnsi"/>
              </w:rPr>
              <w:t xml:space="preserve">) </w:t>
            </w:r>
            <w:r w:rsidR="0037496E">
              <w:rPr>
                <w:rFonts w:cstheme="minorHAnsi"/>
              </w:rPr>
              <w:t>,</w:t>
            </w:r>
            <w:proofErr w:type="gramEnd"/>
            <w:r w:rsidR="0037496E">
              <w:rPr>
                <w:rFonts w:cstheme="minorHAnsi"/>
              </w:rPr>
              <w:t xml:space="preserve"> participated in  Rock Enroll Activities, EOPS Bundle Enrollment Activity.  </w:t>
            </w:r>
          </w:p>
          <w:p w14:paraId="4AEA517B" w14:textId="26218F5B" w:rsidR="00751AB6" w:rsidRPr="00D921B3" w:rsidRDefault="00751AB6" w:rsidP="00D921B3">
            <w:pPr>
              <w:jc w:val="left"/>
              <w:rPr>
                <w:rFonts w:cstheme="minorHAnsi"/>
              </w:rPr>
            </w:pPr>
          </w:p>
        </w:tc>
      </w:tr>
    </w:tbl>
    <w:p w14:paraId="18C27853" w14:textId="77777777" w:rsidR="00571474" w:rsidRDefault="00571474" w:rsidP="00D921B3">
      <w:pPr>
        <w:jc w:val="left"/>
        <w:rPr>
          <w:rFonts w:cstheme="minorHAnsi"/>
        </w:rPr>
      </w:pPr>
    </w:p>
    <w:p w14:paraId="3081DCF4" w14:textId="54992D07" w:rsidR="00521806" w:rsidRPr="00D921B3" w:rsidRDefault="00D90F1F" w:rsidP="00D921B3">
      <w:pPr>
        <w:jc w:val="left"/>
        <w:rPr>
          <w:rFonts w:cstheme="minorHAnsi"/>
        </w:rPr>
      </w:pPr>
      <w:r w:rsidRPr="00D921B3">
        <w:rPr>
          <w:rFonts w:cstheme="minorHAnsi"/>
        </w:rPr>
        <w:t xml:space="preserve">How </w:t>
      </w:r>
      <w:r w:rsidR="004A38B8" w:rsidRPr="00D921B3">
        <w:rPr>
          <w:rFonts w:cstheme="minorHAnsi"/>
        </w:rPr>
        <w:t xml:space="preserve">has your department </w:t>
      </w:r>
      <w:r w:rsidR="00521806" w:rsidRPr="00D921B3">
        <w:rPr>
          <w:rFonts w:cstheme="minorHAnsi"/>
        </w:rPr>
        <w:t>engaged in community activities, partnerships and/or collaboration</w:t>
      </w:r>
      <w:r w:rsidRPr="00D921B3">
        <w:rPr>
          <w:rFonts w:cstheme="minorHAnsi"/>
        </w:rPr>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16069D1D" w14:textId="7B378B41" w:rsidR="00751AB6" w:rsidRPr="00D921B3" w:rsidRDefault="004A38B8" w:rsidP="00D921B3">
            <w:pPr>
              <w:jc w:val="left"/>
              <w:rPr>
                <w:rFonts w:cstheme="minorHAnsi"/>
              </w:rPr>
            </w:pPr>
            <w:r>
              <w:rPr>
                <w:rFonts w:cstheme="minorHAnsi"/>
              </w:rPr>
              <w:t xml:space="preserve">The VRC has partner </w:t>
            </w:r>
            <w:r w:rsidR="001C61AC">
              <w:rPr>
                <w:rFonts w:cstheme="minorHAnsi"/>
              </w:rPr>
              <w:t xml:space="preserve">or collaborated </w:t>
            </w:r>
            <w:r>
              <w:rPr>
                <w:rFonts w:cstheme="minorHAnsi"/>
              </w:rPr>
              <w:t xml:space="preserve">with outside organization such </w:t>
            </w:r>
            <w:proofErr w:type="gramStart"/>
            <w:r>
              <w:rPr>
                <w:rFonts w:cstheme="minorHAnsi"/>
              </w:rPr>
              <w:t>as :</w:t>
            </w:r>
            <w:proofErr w:type="gramEnd"/>
            <w:r>
              <w:rPr>
                <w:rFonts w:cstheme="minorHAnsi"/>
              </w:rPr>
              <w:t xml:space="preserve"> Oakland Veterans Center, Swords to P</w:t>
            </w:r>
            <w:r w:rsidR="001C61AC">
              <w:rPr>
                <w:rFonts w:cstheme="minorHAnsi"/>
              </w:rPr>
              <w:t xml:space="preserve">lowshares, Disable American </w:t>
            </w:r>
            <w:r>
              <w:rPr>
                <w:rFonts w:cstheme="minorHAnsi"/>
              </w:rPr>
              <w:t>Veteran’s Department</w:t>
            </w:r>
            <w:r w:rsidR="001C61AC">
              <w:rPr>
                <w:rFonts w:cstheme="minorHAnsi"/>
              </w:rPr>
              <w:t xml:space="preserve"> (DAV). </w:t>
            </w: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1" w:name="_Hlk115161478"/>
    </w:p>
    <w:p w14:paraId="5CF91402" w14:textId="033E551B"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77777777" w:rsidR="00B35349" w:rsidRPr="00D921B3" w:rsidRDefault="00B35349" w:rsidP="00D921B3">
      <w:pPr>
        <w:jc w:val="left"/>
        <w:rPr>
          <w:rFonts w:cstheme="minorHAnsi"/>
        </w:rPr>
      </w:pPr>
      <w:r w:rsidRPr="00D921B3">
        <w:rPr>
          <w:rFonts w:cstheme="minorHAnsi"/>
        </w:rPr>
        <w:t xml:space="preserve">In the boxes below, please add resource requests for your program. If there are no resource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shd w:val="clear" w:color="auto" w:fill="auto"/>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shd w:val="clear" w:color="auto" w:fill="auto"/>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shd w:val="clear" w:color="auto" w:fill="auto"/>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5C2936EB" w14:textId="77777777" w:rsidTr="00571474">
        <w:trPr>
          <w:trHeight w:val="204"/>
        </w:trPr>
        <w:tc>
          <w:tcPr>
            <w:tcW w:w="3389" w:type="dxa"/>
            <w:shd w:val="clear" w:color="auto" w:fill="auto"/>
          </w:tcPr>
          <w:p w14:paraId="01A200F0" w14:textId="77777777" w:rsidR="00B35349" w:rsidRPr="00D921B3" w:rsidRDefault="00B35349" w:rsidP="00D921B3">
            <w:pPr>
              <w:jc w:val="left"/>
              <w:rPr>
                <w:rFonts w:eastAsia="Times New Roman" w:cstheme="minorHAnsi"/>
                <w:bCs/>
              </w:rPr>
            </w:pPr>
            <w:r w:rsidRPr="00D921B3">
              <w:rPr>
                <w:rFonts w:eastAsia="Times New Roman" w:cstheme="minorHAnsi"/>
                <w:bCs/>
              </w:rPr>
              <w:t>Personnel: Classified Staff</w:t>
            </w:r>
          </w:p>
        </w:tc>
        <w:tc>
          <w:tcPr>
            <w:tcW w:w="4711" w:type="dxa"/>
            <w:shd w:val="clear" w:color="auto" w:fill="auto"/>
          </w:tcPr>
          <w:p w14:paraId="3F0AA5CB" w14:textId="1B62F6AA" w:rsidR="00B35349" w:rsidRPr="00D921B3" w:rsidRDefault="001C61AC" w:rsidP="00EC1689">
            <w:pPr>
              <w:jc w:val="left"/>
              <w:rPr>
                <w:rFonts w:eastAsia="Times New Roman" w:cstheme="minorHAnsi"/>
              </w:rPr>
            </w:pPr>
            <w:r>
              <w:rPr>
                <w:rFonts w:eastAsia="Times New Roman" w:cstheme="minorHAnsi"/>
              </w:rPr>
              <w:t>1 classified staff</w:t>
            </w:r>
            <w:r w:rsidR="00A1242E">
              <w:rPr>
                <w:rFonts w:eastAsia="Times New Roman" w:cstheme="minorHAnsi"/>
              </w:rPr>
              <w:t xml:space="preserve"> (part or full time) we need </w:t>
            </w:r>
            <w:r w:rsidR="00EC1689">
              <w:rPr>
                <w:rFonts w:eastAsia="Times New Roman" w:cstheme="minorHAnsi"/>
              </w:rPr>
              <w:t>“</w:t>
            </w:r>
            <w:r w:rsidR="00A1242E" w:rsidRPr="00EC1689">
              <w:rPr>
                <w:rFonts w:eastAsia="Times New Roman" w:cstheme="minorHAnsi"/>
                <w:b/>
              </w:rPr>
              <w:t>consistency</w:t>
            </w:r>
            <w:r w:rsidR="00EC1689">
              <w:rPr>
                <w:rFonts w:eastAsia="Times New Roman" w:cstheme="minorHAnsi"/>
                <w:b/>
              </w:rPr>
              <w:t>”</w:t>
            </w:r>
            <w:r w:rsidR="00A1242E">
              <w:rPr>
                <w:rFonts w:eastAsia="Times New Roman" w:cstheme="minorHAnsi"/>
              </w:rPr>
              <w:t xml:space="preserve"> at the front desk</w:t>
            </w:r>
            <w:r w:rsidR="00EC1689">
              <w:rPr>
                <w:rFonts w:eastAsia="Times New Roman" w:cstheme="minorHAnsi"/>
              </w:rPr>
              <w:t xml:space="preserve"> to greet, assist w/ application (VA, school, etc..) schedule appts. </w:t>
            </w:r>
            <w:r w:rsidR="00A1242E">
              <w:rPr>
                <w:rFonts w:eastAsia="Times New Roman" w:cstheme="minorHAnsi"/>
              </w:rPr>
              <w:t xml:space="preserve">work study has not been </w:t>
            </w:r>
            <w:r w:rsidR="00EC1689">
              <w:rPr>
                <w:rFonts w:eastAsia="Times New Roman" w:cstheme="minorHAnsi"/>
              </w:rPr>
              <w:t xml:space="preserve">able to provide that resource on a consistent basis. </w:t>
            </w:r>
          </w:p>
        </w:tc>
        <w:tc>
          <w:tcPr>
            <w:tcW w:w="1266" w:type="dxa"/>
            <w:shd w:val="clear" w:color="auto" w:fill="auto"/>
          </w:tcPr>
          <w:p w14:paraId="168735D7" w14:textId="06C4D370" w:rsidR="00B35349" w:rsidRPr="00D921B3" w:rsidRDefault="00EC1689" w:rsidP="00D921B3">
            <w:pPr>
              <w:jc w:val="left"/>
              <w:rPr>
                <w:rFonts w:eastAsia="Times New Roman" w:cstheme="minorHAnsi"/>
              </w:rPr>
            </w:pPr>
            <w:r>
              <w:rPr>
                <w:rFonts w:eastAsia="Times New Roman" w:cstheme="minorHAnsi"/>
              </w:rPr>
              <w:t>$4358.43</w:t>
            </w:r>
          </w:p>
        </w:tc>
      </w:tr>
      <w:tr w:rsidR="00B35349" w:rsidRPr="00D921B3" w14:paraId="56B5C043" w14:textId="77777777" w:rsidTr="00571474">
        <w:trPr>
          <w:trHeight w:val="204"/>
        </w:trPr>
        <w:tc>
          <w:tcPr>
            <w:tcW w:w="3389" w:type="dxa"/>
            <w:shd w:val="clear" w:color="auto" w:fill="auto"/>
          </w:tcPr>
          <w:p w14:paraId="342CCFF4" w14:textId="77777777" w:rsidR="00B35349" w:rsidRPr="00D921B3" w:rsidRDefault="00B35349" w:rsidP="00D921B3">
            <w:pPr>
              <w:jc w:val="left"/>
              <w:rPr>
                <w:rFonts w:eastAsia="Times New Roman" w:cstheme="minorHAnsi"/>
                <w:bCs/>
              </w:rPr>
            </w:pPr>
            <w:r w:rsidRPr="00D921B3">
              <w:rPr>
                <w:rFonts w:eastAsia="Times New Roman" w:cstheme="minorHAnsi"/>
                <w:bCs/>
              </w:rPr>
              <w:t>Personnel: Student Worker</w:t>
            </w:r>
          </w:p>
        </w:tc>
        <w:tc>
          <w:tcPr>
            <w:tcW w:w="4711" w:type="dxa"/>
            <w:shd w:val="clear" w:color="auto" w:fill="auto"/>
          </w:tcPr>
          <w:p w14:paraId="3632A3C6" w14:textId="77777777" w:rsidR="00B35349" w:rsidRPr="00D921B3" w:rsidRDefault="00B35349" w:rsidP="00D921B3">
            <w:pPr>
              <w:jc w:val="left"/>
              <w:rPr>
                <w:rFonts w:eastAsia="Times New Roman" w:cstheme="minorHAnsi"/>
              </w:rPr>
            </w:pPr>
          </w:p>
        </w:tc>
        <w:tc>
          <w:tcPr>
            <w:tcW w:w="1266" w:type="dxa"/>
            <w:shd w:val="clear" w:color="auto" w:fill="auto"/>
          </w:tcPr>
          <w:p w14:paraId="4FC1BE7E" w14:textId="77777777" w:rsidR="00B35349" w:rsidRPr="00D921B3" w:rsidRDefault="00B35349" w:rsidP="00D921B3">
            <w:pPr>
              <w:jc w:val="left"/>
              <w:rPr>
                <w:rFonts w:eastAsia="Times New Roman" w:cstheme="minorHAnsi"/>
              </w:rPr>
            </w:pPr>
          </w:p>
        </w:tc>
      </w:tr>
      <w:tr w:rsidR="00B35349" w:rsidRPr="00D921B3" w14:paraId="4E6E663B" w14:textId="77777777" w:rsidTr="00571474">
        <w:trPr>
          <w:trHeight w:val="242"/>
        </w:trPr>
        <w:tc>
          <w:tcPr>
            <w:tcW w:w="3389" w:type="dxa"/>
            <w:shd w:val="clear" w:color="auto" w:fill="auto"/>
          </w:tcPr>
          <w:p w14:paraId="159DB80A" w14:textId="77777777" w:rsidR="00B35349" w:rsidRPr="00D921B3" w:rsidRDefault="00B35349" w:rsidP="00D921B3">
            <w:pPr>
              <w:jc w:val="left"/>
              <w:rPr>
                <w:rFonts w:eastAsia="Times New Roman" w:cstheme="minorHAnsi"/>
                <w:bCs/>
              </w:rPr>
            </w:pPr>
            <w:r w:rsidRPr="00D921B3">
              <w:rPr>
                <w:rFonts w:eastAsia="Times New Roman" w:cstheme="minorHAnsi"/>
                <w:bCs/>
              </w:rPr>
              <w:t>Personnel: Part Time Faculty</w:t>
            </w:r>
          </w:p>
        </w:tc>
        <w:tc>
          <w:tcPr>
            <w:tcW w:w="4711" w:type="dxa"/>
            <w:shd w:val="clear" w:color="auto" w:fill="auto"/>
          </w:tcPr>
          <w:p w14:paraId="5EAA081C" w14:textId="77777777" w:rsidR="00B35349" w:rsidRPr="00D921B3" w:rsidRDefault="00B35349" w:rsidP="00D921B3">
            <w:pPr>
              <w:jc w:val="left"/>
              <w:rPr>
                <w:rFonts w:eastAsia="Times New Roman" w:cstheme="minorHAnsi"/>
              </w:rPr>
            </w:pPr>
          </w:p>
        </w:tc>
        <w:tc>
          <w:tcPr>
            <w:tcW w:w="1266" w:type="dxa"/>
            <w:shd w:val="clear" w:color="auto" w:fill="auto"/>
          </w:tcPr>
          <w:p w14:paraId="3C060804" w14:textId="77777777" w:rsidR="00B35349" w:rsidRPr="00D921B3" w:rsidRDefault="00B35349" w:rsidP="00D921B3">
            <w:pPr>
              <w:jc w:val="left"/>
              <w:rPr>
                <w:rFonts w:eastAsia="Times New Roman" w:cstheme="minorHAnsi"/>
              </w:rPr>
            </w:pPr>
          </w:p>
        </w:tc>
      </w:tr>
      <w:tr w:rsidR="00B35349" w:rsidRPr="00D921B3" w14:paraId="6DC5B7AB" w14:textId="77777777" w:rsidTr="00571474">
        <w:trPr>
          <w:trHeight w:val="204"/>
        </w:trPr>
        <w:tc>
          <w:tcPr>
            <w:tcW w:w="3389" w:type="dxa"/>
            <w:shd w:val="clear" w:color="auto" w:fill="auto"/>
          </w:tcPr>
          <w:p w14:paraId="7C54CB08"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Personnel: Full Time Faculty </w:t>
            </w:r>
          </w:p>
        </w:tc>
        <w:tc>
          <w:tcPr>
            <w:tcW w:w="4711" w:type="dxa"/>
            <w:shd w:val="clear" w:color="auto" w:fill="auto"/>
          </w:tcPr>
          <w:p w14:paraId="5BFDFDCC" w14:textId="77777777" w:rsidR="00B35349" w:rsidRPr="00D921B3" w:rsidRDefault="00B35349" w:rsidP="00D921B3">
            <w:pPr>
              <w:jc w:val="left"/>
              <w:rPr>
                <w:rFonts w:eastAsia="Times New Roman" w:cstheme="minorHAnsi"/>
              </w:rPr>
            </w:pPr>
          </w:p>
        </w:tc>
        <w:tc>
          <w:tcPr>
            <w:tcW w:w="1266" w:type="dxa"/>
            <w:shd w:val="clear" w:color="auto" w:fill="auto"/>
          </w:tcPr>
          <w:p w14:paraId="39FE59BF" w14:textId="77777777" w:rsidR="00B35349" w:rsidRPr="00D921B3" w:rsidRDefault="00B35349" w:rsidP="00D921B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200"/>
        <w:gridCol w:w="4914"/>
        <w:gridCol w:w="1208"/>
      </w:tblGrid>
      <w:tr w:rsidR="00B35349" w:rsidRPr="00D921B3" w14:paraId="096A1E11" w14:textId="77777777" w:rsidTr="00571474">
        <w:trPr>
          <w:trHeight w:val="537"/>
          <w:jc w:val="center"/>
        </w:trPr>
        <w:tc>
          <w:tcPr>
            <w:tcW w:w="3200" w:type="dxa"/>
            <w:shd w:val="clear" w:color="auto" w:fill="auto"/>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914" w:type="dxa"/>
            <w:shd w:val="clear" w:color="auto" w:fill="auto"/>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0571474">
        <w:trPr>
          <w:trHeight w:val="267"/>
          <w:jc w:val="center"/>
        </w:trPr>
        <w:tc>
          <w:tcPr>
            <w:tcW w:w="3200" w:type="dxa"/>
            <w:shd w:val="clear" w:color="auto" w:fill="auto"/>
          </w:tcPr>
          <w:p w14:paraId="471034C9"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Department wide PD needed</w:t>
            </w:r>
          </w:p>
        </w:tc>
        <w:tc>
          <w:tcPr>
            <w:tcW w:w="4914" w:type="dxa"/>
            <w:shd w:val="clear" w:color="auto" w:fill="auto"/>
          </w:tcPr>
          <w:p w14:paraId="53C5EF37" w14:textId="16959BAC"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shd w:val="clear" w:color="auto" w:fill="auto"/>
          </w:tcPr>
          <w:p w14:paraId="4DC4B8D2" w14:textId="77777777" w:rsidR="00B35349" w:rsidRPr="00D921B3" w:rsidRDefault="00B35349" w:rsidP="00D921B3">
            <w:pPr>
              <w:jc w:val="left"/>
              <w:rPr>
                <w:rFonts w:eastAsia="Times New Roman" w:cstheme="minorHAnsi"/>
              </w:rPr>
            </w:pPr>
          </w:p>
        </w:tc>
      </w:tr>
      <w:tr w:rsidR="00B35349" w:rsidRPr="00D921B3" w14:paraId="55955C5A" w14:textId="77777777" w:rsidTr="00571474">
        <w:trPr>
          <w:trHeight w:val="267"/>
          <w:jc w:val="center"/>
        </w:trPr>
        <w:tc>
          <w:tcPr>
            <w:tcW w:w="3200" w:type="dxa"/>
            <w:shd w:val="clear" w:color="auto" w:fill="auto"/>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lastRenderedPageBreak/>
              <w:t>Professional Development: Personal/Individual PD needed</w:t>
            </w:r>
          </w:p>
        </w:tc>
        <w:tc>
          <w:tcPr>
            <w:tcW w:w="4914" w:type="dxa"/>
            <w:shd w:val="clear" w:color="auto" w:fill="auto"/>
          </w:tcPr>
          <w:p w14:paraId="126652A3" w14:textId="77777777" w:rsidR="00B35349" w:rsidRDefault="0037496E" w:rsidP="00D921B3">
            <w:pPr>
              <w:jc w:val="left"/>
              <w:rPr>
                <w:rFonts w:eastAsia="Times New Roman" w:cstheme="minorHAnsi"/>
              </w:rPr>
            </w:pPr>
            <w:r>
              <w:rPr>
                <w:rFonts w:eastAsia="Times New Roman" w:cstheme="minorHAnsi"/>
              </w:rPr>
              <w:t>Credit for Prior Learning (CPL)</w:t>
            </w:r>
            <w:r w:rsidR="00493421">
              <w:rPr>
                <w:rFonts w:eastAsia="Times New Roman" w:cstheme="minorHAnsi"/>
              </w:rPr>
              <w:t>:  Veterans Transcripts</w:t>
            </w:r>
          </w:p>
          <w:p w14:paraId="59ADD889" w14:textId="12DBB974" w:rsidR="00284081" w:rsidRPr="00D921B3" w:rsidRDefault="00284081" w:rsidP="00D921B3">
            <w:pPr>
              <w:jc w:val="left"/>
              <w:rPr>
                <w:rFonts w:eastAsia="Times New Roman" w:cstheme="minorHAnsi"/>
              </w:rPr>
            </w:pPr>
          </w:p>
        </w:tc>
        <w:tc>
          <w:tcPr>
            <w:tcW w:w="1208" w:type="dxa"/>
            <w:shd w:val="clear" w:color="auto" w:fill="auto"/>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0571474">
        <w:trPr>
          <w:trHeight w:val="267"/>
          <w:jc w:val="center"/>
        </w:trPr>
        <w:tc>
          <w:tcPr>
            <w:tcW w:w="3200" w:type="dxa"/>
            <w:shd w:val="clear" w:color="auto" w:fill="auto"/>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914" w:type="dxa"/>
            <w:shd w:val="clear" w:color="auto" w:fill="auto"/>
          </w:tcPr>
          <w:p w14:paraId="76D8DCC0" w14:textId="7917716D" w:rsidR="00B35349" w:rsidRPr="00D921B3" w:rsidRDefault="0037496E" w:rsidP="00284081">
            <w:pPr>
              <w:jc w:val="left"/>
              <w:rPr>
                <w:rFonts w:eastAsia="Times New Roman" w:cstheme="minorHAnsi"/>
              </w:rPr>
            </w:pPr>
            <w:r>
              <w:rPr>
                <w:rFonts w:eastAsia="Times New Roman" w:cstheme="minorHAnsi"/>
              </w:rPr>
              <w:t>Microsoft</w:t>
            </w:r>
            <w:r w:rsidR="00284081">
              <w:rPr>
                <w:rFonts w:eastAsia="Times New Roman" w:cstheme="minorHAnsi"/>
              </w:rPr>
              <w:t xml:space="preserve"> Enterprise10 software </w:t>
            </w:r>
          </w:p>
        </w:tc>
        <w:tc>
          <w:tcPr>
            <w:tcW w:w="1208" w:type="dxa"/>
            <w:shd w:val="clear" w:color="auto" w:fill="auto"/>
          </w:tcPr>
          <w:p w14:paraId="7899A74F" w14:textId="3E21D37B" w:rsidR="00B35349" w:rsidRPr="00D921B3" w:rsidRDefault="000D18D5" w:rsidP="00D921B3">
            <w:pPr>
              <w:jc w:val="left"/>
              <w:rPr>
                <w:rFonts w:eastAsia="Times New Roman" w:cstheme="minorHAnsi"/>
              </w:rPr>
            </w:pPr>
            <w:r>
              <w:rPr>
                <w:rFonts w:eastAsia="Times New Roman" w:cstheme="minorHAnsi"/>
              </w:rPr>
              <w:t>$</w:t>
            </w:r>
            <w:r w:rsidR="00284081">
              <w:rPr>
                <w:rFonts w:eastAsia="Times New Roman" w:cstheme="minorHAnsi"/>
              </w:rPr>
              <w:t>3,000</w:t>
            </w:r>
            <w:r>
              <w:rPr>
                <w:rFonts w:eastAsia="Times New Roman" w:cstheme="minorHAnsi"/>
              </w:rPr>
              <w:t>.00</w:t>
            </w:r>
          </w:p>
        </w:tc>
      </w:tr>
      <w:tr w:rsidR="00B35349" w:rsidRPr="00D921B3" w14:paraId="2B60EED4" w14:textId="77777777" w:rsidTr="00571474">
        <w:trPr>
          <w:trHeight w:val="267"/>
          <w:jc w:val="center"/>
        </w:trPr>
        <w:tc>
          <w:tcPr>
            <w:tcW w:w="3200" w:type="dxa"/>
            <w:shd w:val="clear" w:color="auto" w:fill="auto"/>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Supplies: Books, Magazines, and/or Periodicals</w:t>
            </w:r>
          </w:p>
        </w:tc>
        <w:tc>
          <w:tcPr>
            <w:tcW w:w="4914" w:type="dxa"/>
            <w:shd w:val="clear" w:color="auto" w:fill="auto"/>
          </w:tcPr>
          <w:p w14:paraId="7A452255" w14:textId="7A6D89E0" w:rsidR="00B35349" w:rsidRPr="00D921B3" w:rsidRDefault="00493421" w:rsidP="00D921B3">
            <w:pPr>
              <w:jc w:val="left"/>
              <w:rPr>
                <w:rFonts w:eastAsia="Times New Roman" w:cstheme="minorHAnsi"/>
              </w:rPr>
            </w:pPr>
            <w:r>
              <w:rPr>
                <w:rFonts w:eastAsia="Times New Roman" w:cstheme="minorHAnsi"/>
              </w:rPr>
              <w:t>Books:  for Books Loan Program</w:t>
            </w:r>
          </w:p>
        </w:tc>
        <w:tc>
          <w:tcPr>
            <w:tcW w:w="1208" w:type="dxa"/>
            <w:shd w:val="clear" w:color="auto" w:fill="auto"/>
          </w:tcPr>
          <w:p w14:paraId="49430699" w14:textId="420E607D" w:rsidR="00B35349" w:rsidRPr="00D921B3" w:rsidRDefault="00EC1689" w:rsidP="00284081">
            <w:pPr>
              <w:jc w:val="left"/>
              <w:rPr>
                <w:rFonts w:eastAsia="Times New Roman" w:cstheme="minorHAnsi"/>
              </w:rPr>
            </w:pPr>
            <w:r>
              <w:rPr>
                <w:rFonts w:eastAsia="Times New Roman" w:cstheme="minorHAnsi"/>
              </w:rPr>
              <w:t xml:space="preserve">$ </w:t>
            </w:r>
            <w:r w:rsidR="00493421">
              <w:rPr>
                <w:rFonts w:eastAsia="Times New Roman" w:cstheme="minorHAnsi"/>
              </w:rPr>
              <w:t>1</w:t>
            </w:r>
            <w:r w:rsidR="00284081">
              <w:rPr>
                <w:rFonts w:eastAsia="Times New Roman" w:cstheme="minorHAnsi"/>
              </w:rPr>
              <w:t>5</w:t>
            </w:r>
            <w:r w:rsidR="00493421">
              <w:rPr>
                <w:rFonts w:eastAsia="Times New Roman" w:cstheme="minorHAnsi"/>
              </w:rPr>
              <w:t>00.00</w:t>
            </w:r>
          </w:p>
        </w:tc>
      </w:tr>
      <w:tr w:rsidR="00B35349" w:rsidRPr="00D921B3" w14:paraId="49711766" w14:textId="77777777" w:rsidTr="00571474">
        <w:trPr>
          <w:trHeight w:val="267"/>
          <w:jc w:val="center"/>
        </w:trPr>
        <w:tc>
          <w:tcPr>
            <w:tcW w:w="3200" w:type="dxa"/>
            <w:shd w:val="clear" w:color="auto" w:fill="auto"/>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914" w:type="dxa"/>
            <w:shd w:val="clear" w:color="auto" w:fill="auto"/>
          </w:tcPr>
          <w:p w14:paraId="4985944B" w14:textId="77777777" w:rsidR="00B35349" w:rsidRPr="00D921B3" w:rsidRDefault="00B35349" w:rsidP="00D921B3">
            <w:pPr>
              <w:jc w:val="left"/>
              <w:rPr>
                <w:rFonts w:eastAsia="Times New Roman" w:cstheme="minorHAnsi"/>
              </w:rPr>
            </w:pPr>
          </w:p>
        </w:tc>
        <w:tc>
          <w:tcPr>
            <w:tcW w:w="1208" w:type="dxa"/>
            <w:shd w:val="clear" w:color="auto" w:fill="auto"/>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0571474">
        <w:trPr>
          <w:trHeight w:val="267"/>
          <w:jc w:val="center"/>
        </w:trPr>
        <w:tc>
          <w:tcPr>
            <w:tcW w:w="3200" w:type="dxa"/>
            <w:shd w:val="clear" w:color="auto" w:fill="auto"/>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914" w:type="dxa"/>
            <w:shd w:val="clear" w:color="auto" w:fill="auto"/>
          </w:tcPr>
          <w:p w14:paraId="71ACB233" w14:textId="77777777" w:rsidR="00B35349" w:rsidRPr="00D921B3" w:rsidRDefault="00B35349" w:rsidP="00D921B3">
            <w:pPr>
              <w:jc w:val="left"/>
              <w:rPr>
                <w:rFonts w:eastAsia="Times New Roman" w:cstheme="minorHAnsi"/>
              </w:rPr>
            </w:pPr>
          </w:p>
        </w:tc>
        <w:tc>
          <w:tcPr>
            <w:tcW w:w="1208" w:type="dxa"/>
            <w:shd w:val="clear" w:color="auto" w:fill="auto"/>
          </w:tcPr>
          <w:p w14:paraId="093D3209" w14:textId="77777777" w:rsidR="00B35349" w:rsidRPr="00D921B3" w:rsidRDefault="00B35349" w:rsidP="00D921B3">
            <w:pPr>
              <w:jc w:val="left"/>
              <w:rPr>
                <w:rFonts w:eastAsia="Times New Roman" w:cstheme="minorHAnsi"/>
              </w:rPr>
            </w:pPr>
          </w:p>
        </w:tc>
      </w:tr>
      <w:tr w:rsidR="00B35349" w:rsidRPr="00D921B3" w14:paraId="1E0B12F6" w14:textId="77777777" w:rsidTr="00571474">
        <w:trPr>
          <w:trHeight w:val="267"/>
          <w:jc w:val="center"/>
        </w:trPr>
        <w:tc>
          <w:tcPr>
            <w:tcW w:w="3200" w:type="dxa"/>
            <w:shd w:val="clear" w:color="auto" w:fill="auto"/>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914" w:type="dxa"/>
            <w:shd w:val="clear" w:color="auto" w:fill="auto"/>
          </w:tcPr>
          <w:p w14:paraId="22D6DF98" w14:textId="77777777" w:rsidR="00B35349" w:rsidRPr="00D921B3" w:rsidRDefault="00B35349" w:rsidP="00D921B3">
            <w:pPr>
              <w:jc w:val="left"/>
              <w:rPr>
                <w:rFonts w:eastAsia="Times New Roman" w:cstheme="minorHAnsi"/>
              </w:rPr>
            </w:pPr>
          </w:p>
        </w:tc>
        <w:tc>
          <w:tcPr>
            <w:tcW w:w="1208" w:type="dxa"/>
            <w:shd w:val="clear" w:color="auto" w:fill="auto"/>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0571474">
        <w:trPr>
          <w:trHeight w:val="267"/>
          <w:jc w:val="center"/>
        </w:trPr>
        <w:tc>
          <w:tcPr>
            <w:tcW w:w="3200" w:type="dxa"/>
            <w:shd w:val="clear" w:color="auto" w:fill="auto"/>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914" w:type="dxa"/>
            <w:shd w:val="clear" w:color="auto" w:fill="auto"/>
          </w:tcPr>
          <w:p w14:paraId="0B4FA233" w14:textId="50730606" w:rsidR="00B35349" w:rsidRPr="00D921B3" w:rsidRDefault="001C61AC" w:rsidP="00D921B3">
            <w:pPr>
              <w:jc w:val="left"/>
              <w:rPr>
                <w:rFonts w:eastAsia="Times New Roman" w:cstheme="minorHAnsi"/>
              </w:rPr>
            </w:pPr>
            <w:r>
              <w:rPr>
                <w:rFonts w:eastAsia="Times New Roman" w:cstheme="minorHAnsi"/>
              </w:rPr>
              <w:t>Computer refresh (</w:t>
            </w:r>
            <w:r w:rsidR="0037496E">
              <w:rPr>
                <w:rFonts w:eastAsia="Times New Roman" w:cstheme="minorHAnsi"/>
              </w:rPr>
              <w:t>6) computer lab &amp; front desk</w:t>
            </w:r>
          </w:p>
        </w:tc>
        <w:tc>
          <w:tcPr>
            <w:tcW w:w="1208" w:type="dxa"/>
            <w:shd w:val="clear" w:color="auto" w:fill="auto"/>
          </w:tcPr>
          <w:p w14:paraId="090E4377" w14:textId="20BAEA28" w:rsidR="00B35349" w:rsidRPr="00D921B3" w:rsidRDefault="000D18D5" w:rsidP="00D921B3">
            <w:pPr>
              <w:jc w:val="left"/>
              <w:rPr>
                <w:rFonts w:eastAsia="Times New Roman" w:cstheme="minorHAnsi"/>
              </w:rPr>
            </w:pPr>
            <w:r>
              <w:rPr>
                <w:rFonts w:eastAsia="Times New Roman" w:cstheme="minorHAnsi"/>
              </w:rPr>
              <w:t>$7</w:t>
            </w:r>
            <w:r w:rsidR="00284081">
              <w:rPr>
                <w:rFonts w:eastAsia="Times New Roman" w:cstheme="minorHAnsi"/>
              </w:rPr>
              <w:t>,</w:t>
            </w:r>
            <w:r>
              <w:rPr>
                <w:rFonts w:eastAsia="Times New Roman" w:cstheme="minorHAnsi"/>
              </w:rPr>
              <w:t>000.00</w:t>
            </w:r>
          </w:p>
        </w:tc>
      </w:tr>
      <w:tr w:rsidR="00B35349" w:rsidRPr="00D921B3" w14:paraId="526C596D" w14:textId="77777777" w:rsidTr="00571474">
        <w:trPr>
          <w:trHeight w:val="267"/>
          <w:jc w:val="center"/>
        </w:trPr>
        <w:tc>
          <w:tcPr>
            <w:tcW w:w="3200" w:type="dxa"/>
            <w:shd w:val="clear" w:color="auto" w:fill="auto"/>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914" w:type="dxa"/>
            <w:shd w:val="clear" w:color="auto" w:fill="auto"/>
          </w:tcPr>
          <w:p w14:paraId="5DCCFCDD" w14:textId="77777777" w:rsidR="00B35349" w:rsidRPr="00D921B3" w:rsidRDefault="00B35349" w:rsidP="00D921B3">
            <w:pPr>
              <w:jc w:val="left"/>
              <w:rPr>
                <w:rFonts w:eastAsia="Times New Roman" w:cstheme="minorHAnsi"/>
              </w:rPr>
            </w:pPr>
          </w:p>
        </w:tc>
        <w:tc>
          <w:tcPr>
            <w:tcW w:w="1208" w:type="dxa"/>
            <w:shd w:val="clear" w:color="auto" w:fill="auto"/>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0571474">
        <w:trPr>
          <w:trHeight w:val="267"/>
          <w:jc w:val="center"/>
        </w:trPr>
        <w:tc>
          <w:tcPr>
            <w:tcW w:w="3200" w:type="dxa"/>
            <w:shd w:val="clear" w:color="auto" w:fill="auto"/>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914" w:type="dxa"/>
            <w:shd w:val="clear" w:color="auto" w:fill="auto"/>
          </w:tcPr>
          <w:p w14:paraId="68D127D1" w14:textId="77777777" w:rsidR="00B35349" w:rsidRPr="00D921B3" w:rsidRDefault="00B35349" w:rsidP="00D921B3">
            <w:pPr>
              <w:jc w:val="left"/>
              <w:rPr>
                <w:rFonts w:eastAsia="Times New Roman" w:cstheme="minorHAnsi"/>
              </w:rPr>
            </w:pPr>
          </w:p>
        </w:tc>
        <w:tc>
          <w:tcPr>
            <w:tcW w:w="1208" w:type="dxa"/>
            <w:shd w:val="clear" w:color="auto" w:fill="auto"/>
          </w:tcPr>
          <w:p w14:paraId="3AF17C3B" w14:textId="77777777" w:rsidR="00B35349" w:rsidRPr="00D921B3" w:rsidRDefault="00B35349" w:rsidP="00D921B3">
            <w:pPr>
              <w:jc w:val="left"/>
              <w:rPr>
                <w:rFonts w:eastAsia="Times New Roman" w:cstheme="minorHAnsi"/>
              </w:rPr>
            </w:pPr>
          </w:p>
        </w:tc>
      </w:tr>
      <w:tr w:rsidR="00B35349" w:rsidRPr="00D921B3" w14:paraId="4F73E5AD" w14:textId="77777777" w:rsidTr="00571474">
        <w:trPr>
          <w:trHeight w:val="267"/>
          <w:jc w:val="center"/>
        </w:trPr>
        <w:tc>
          <w:tcPr>
            <w:tcW w:w="3200" w:type="dxa"/>
            <w:shd w:val="clear" w:color="auto" w:fill="auto"/>
          </w:tcPr>
          <w:p w14:paraId="3C233219" w14:textId="77777777" w:rsidR="00B35349" w:rsidRPr="00D921B3" w:rsidRDefault="00B35349" w:rsidP="00D921B3">
            <w:pPr>
              <w:jc w:val="left"/>
              <w:rPr>
                <w:rFonts w:eastAsia="Times New Roman" w:cstheme="minorHAnsi"/>
                <w:bCs/>
              </w:rPr>
            </w:pPr>
            <w:r w:rsidRPr="00D921B3">
              <w:rPr>
                <w:rFonts w:eastAsia="Times New Roman" w:cstheme="minorHAnsi"/>
                <w:bCs/>
              </w:rPr>
              <w:t>Facilities: Offices</w:t>
            </w:r>
          </w:p>
        </w:tc>
        <w:tc>
          <w:tcPr>
            <w:tcW w:w="4914" w:type="dxa"/>
            <w:shd w:val="clear" w:color="auto" w:fill="auto"/>
          </w:tcPr>
          <w:p w14:paraId="2D45B2D0" w14:textId="77777777" w:rsidR="00B35349" w:rsidRPr="00D921B3" w:rsidRDefault="00B35349" w:rsidP="00D921B3">
            <w:pPr>
              <w:jc w:val="left"/>
              <w:rPr>
                <w:rFonts w:eastAsia="Times New Roman" w:cstheme="minorHAnsi"/>
              </w:rPr>
            </w:pPr>
          </w:p>
        </w:tc>
        <w:tc>
          <w:tcPr>
            <w:tcW w:w="1208" w:type="dxa"/>
            <w:shd w:val="clear" w:color="auto" w:fill="auto"/>
          </w:tcPr>
          <w:p w14:paraId="65E9A536" w14:textId="77777777" w:rsidR="00B35349" w:rsidRPr="00D921B3" w:rsidRDefault="00B35349" w:rsidP="00D921B3">
            <w:pPr>
              <w:jc w:val="left"/>
              <w:rPr>
                <w:rFonts w:eastAsia="Times New Roman" w:cstheme="minorHAnsi"/>
              </w:rPr>
            </w:pPr>
          </w:p>
        </w:tc>
      </w:tr>
      <w:tr w:rsidR="00B35349" w:rsidRPr="00D921B3" w14:paraId="3C317016" w14:textId="77777777" w:rsidTr="00571474">
        <w:trPr>
          <w:trHeight w:val="267"/>
          <w:jc w:val="center"/>
        </w:trPr>
        <w:tc>
          <w:tcPr>
            <w:tcW w:w="3200" w:type="dxa"/>
            <w:shd w:val="clear" w:color="auto" w:fill="auto"/>
          </w:tcPr>
          <w:p w14:paraId="2C3F0E9E" w14:textId="77777777" w:rsidR="00B35349" w:rsidRPr="00D921B3" w:rsidRDefault="00B35349" w:rsidP="00D921B3">
            <w:pPr>
              <w:jc w:val="left"/>
              <w:rPr>
                <w:rFonts w:eastAsia="Times New Roman" w:cstheme="minorHAnsi"/>
                <w:bCs/>
              </w:rPr>
            </w:pPr>
            <w:r w:rsidRPr="00D921B3">
              <w:rPr>
                <w:rFonts w:eastAsia="Times New Roman" w:cstheme="minorHAnsi"/>
                <w:bCs/>
              </w:rPr>
              <w:t>Other</w:t>
            </w:r>
          </w:p>
        </w:tc>
        <w:tc>
          <w:tcPr>
            <w:tcW w:w="4914" w:type="dxa"/>
            <w:shd w:val="clear" w:color="auto" w:fill="auto"/>
          </w:tcPr>
          <w:p w14:paraId="0A20850A" w14:textId="77777777" w:rsidR="00B35349" w:rsidRPr="00D921B3" w:rsidRDefault="00B35349" w:rsidP="00D921B3">
            <w:pPr>
              <w:jc w:val="left"/>
              <w:rPr>
                <w:rFonts w:eastAsia="Times New Roman" w:cstheme="minorHAnsi"/>
              </w:rPr>
            </w:pPr>
          </w:p>
        </w:tc>
        <w:tc>
          <w:tcPr>
            <w:tcW w:w="1208" w:type="dxa"/>
            <w:shd w:val="clear" w:color="auto" w:fill="auto"/>
          </w:tcPr>
          <w:p w14:paraId="1C9C889B" w14:textId="77777777" w:rsidR="00B35349" w:rsidRPr="00D921B3" w:rsidRDefault="00B35349" w:rsidP="00D921B3">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D13B" w14:textId="77777777" w:rsidR="007C3E75" w:rsidRDefault="007C3E75" w:rsidP="000A0E4A">
      <w:pPr>
        <w:spacing w:after="0" w:line="240" w:lineRule="auto"/>
      </w:pPr>
      <w:r>
        <w:separator/>
      </w:r>
    </w:p>
  </w:endnote>
  <w:endnote w:type="continuationSeparator" w:id="0">
    <w:p w14:paraId="5C8E1686" w14:textId="77777777" w:rsidR="007C3E75" w:rsidRDefault="007C3E7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9431" w14:textId="127F6381" w:rsidR="000A0E4A" w:rsidRPr="003A4FE9" w:rsidRDefault="00AD4F79" w:rsidP="007B4F27">
    <w:pPr>
      <w:pStyle w:val="Footer"/>
      <w:jc w:val="right"/>
      <w:rPr>
        <w:i/>
        <w:sz w:val="20"/>
        <w:szCs w:val="20"/>
      </w:rPr>
    </w:pPr>
    <w:r>
      <w:rPr>
        <w:i/>
        <w:sz w:val="20"/>
        <w:szCs w:val="20"/>
      </w:rPr>
      <w:t>20</w:t>
    </w:r>
    <w:r w:rsidR="00B13202">
      <w:rPr>
        <w:i/>
        <w:sz w:val="20"/>
        <w:szCs w:val="20"/>
      </w:rPr>
      <w:t>2</w:t>
    </w:r>
    <w:r w:rsidR="002D51E0">
      <w:rPr>
        <w:i/>
        <w:sz w:val="20"/>
        <w:szCs w:val="20"/>
      </w:rPr>
      <w:t>2</w:t>
    </w:r>
    <w:r>
      <w:rPr>
        <w:i/>
        <w:sz w:val="20"/>
        <w:szCs w:val="20"/>
      </w:rPr>
      <w:t>-</w:t>
    </w:r>
    <w:r w:rsidR="00B13202">
      <w:rPr>
        <w:i/>
        <w:sz w:val="20"/>
        <w:szCs w:val="20"/>
      </w:rPr>
      <w:t>2</w:t>
    </w:r>
    <w:r w:rsidR="002D51E0">
      <w:rPr>
        <w:i/>
        <w:sz w:val="20"/>
        <w:szCs w:val="20"/>
      </w:rPr>
      <w:t>3</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284081">
          <w:rPr>
            <w:i/>
            <w:noProof/>
            <w:sz w:val="20"/>
            <w:szCs w:val="20"/>
          </w:rPr>
          <w:t>7</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19FA" w14:textId="77777777" w:rsidR="007C3E75" w:rsidRDefault="007C3E75" w:rsidP="000A0E4A">
      <w:pPr>
        <w:spacing w:after="0" w:line="240" w:lineRule="auto"/>
      </w:pPr>
      <w:r>
        <w:separator/>
      </w:r>
    </w:p>
  </w:footnote>
  <w:footnote w:type="continuationSeparator" w:id="0">
    <w:p w14:paraId="02E920BB" w14:textId="77777777" w:rsidR="007C3E75" w:rsidRDefault="007C3E7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BB7548"/>
    <w:multiLevelType w:val="hybridMultilevel"/>
    <w:tmpl w:val="02DC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867671">
    <w:abstractNumId w:val="15"/>
  </w:num>
  <w:num w:numId="2" w16cid:durableId="440690807">
    <w:abstractNumId w:val="9"/>
  </w:num>
  <w:num w:numId="3" w16cid:durableId="1317301937">
    <w:abstractNumId w:val="14"/>
  </w:num>
  <w:num w:numId="4" w16cid:durableId="1924994675">
    <w:abstractNumId w:val="2"/>
  </w:num>
  <w:num w:numId="5" w16cid:durableId="1960329580">
    <w:abstractNumId w:val="10"/>
  </w:num>
  <w:num w:numId="6" w16cid:durableId="1454514903">
    <w:abstractNumId w:val="11"/>
  </w:num>
  <w:num w:numId="7" w16cid:durableId="1247109113">
    <w:abstractNumId w:val="0"/>
  </w:num>
  <w:num w:numId="8" w16cid:durableId="922494147">
    <w:abstractNumId w:val="16"/>
  </w:num>
  <w:num w:numId="9" w16cid:durableId="1184973248">
    <w:abstractNumId w:val="12"/>
  </w:num>
  <w:num w:numId="10" w16cid:durableId="1706711573">
    <w:abstractNumId w:val="7"/>
  </w:num>
  <w:num w:numId="11" w16cid:durableId="79954572">
    <w:abstractNumId w:val="6"/>
  </w:num>
  <w:num w:numId="12" w16cid:durableId="1375229157">
    <w:abstractNumId w:val="3"/>
  </w:num>
  <w:num w:numId="13" w16cid:durableId="1145245343">
    <w:abstractNumId w:val="19"/>
  </w:num>
  <w:num w:numId="14" w16cid:durableId="1995642476">
    <w:abstractNumId w:val="8"/>
  </w:num>
  <w:num w:numId="15" w16cid:durableId="384835098">
    <w:abstractNumId w:val="18"/>
  </w:num>
  <w:num w:numId="16" w16cid:durableId="482770410">
    <w:abstractNumId w:val="1"/>
  </w:num>
  <w:num w:numId="17" w16cid:durableId="1187911861">
    <w:abstractNumId w:val="17"/>
  </w:num>
  <w:num w:numId="18" w16cid:durableId="1451977757">
    <w:abstractNumId w:val="5"/>
  </w:num>
  <w:num w:numId="19" w16cid:durableId="2142767076">
    <w:abstractNumId w:val="13"/>
  </w:num>
  <w:num w:numId="20" w16cid:durableId="1578204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24751"/>
    <w:rsid w:val="00036AAB"/>
    <w:rsid w:val="00054958"/>
    <w:rsid w:val="00071D79"/>
    <w:rsid w:val="00074812"/>
    <w:rsid w:val="00092BE2"/>
    <w:rsid w:val="000A0E4A"/>
    <w:rsid w:val="000A1D14"/>
    <w:rsid w:val="000A5063"/>
    <w:rsid w:val="000B4161"/>
    <w:rsid w:val="000D18D5"/>
    <w:rsid w:val="000E7A92"/>
    <w:rsid w:val="0013741D"/>
    <w:rsid w:val="001408D7"/>
    <w:rsid w:val="00141D4C"/>
    <w:rsid w:val="001524C7"/>
    <w:rsid w:val="00155788"/>
    <w:rsid w:val="001775E3"/>
    <w:rsid w:val="00191575"/>
    <w:rsid w:val="001C61AC"/>
    <w:rsid w:val="001C6A52"/>
    <w:rsid w:val="001F56EE"/>
    <w:rsid w:val="00216A5C"/>
    <w:rsid w:val="00250933"/>
    <w:rsid w:val="0025722D"/>
    <w:rsid w:val="002723D7"/>
    <w:rsid w:val="00274296"/>
    <w:rsid w:val="0028374C"/>
    <w:rsid w:val="00284081"/>
    <w:rsid w:val="0028543B"/>
    <w:rsid w:val="00287F6C"/>
    <w:rsid w:val="002C0B40"/>
    <w:rsid w:val="002C2261"/>
    <w:rsid w:val="002C3A82"/>
    <w:rsid w:val="002D51E0"/>
    <w:rsid w:val="002E4D0E"/>
    <w:rsid w:val="00310968"/>
    <w:rsid w:val="00311E8A"/>
    <w:rsid w:val="00312A82"/>
    <w:rsid w:val="00355F96"/>
    <w:rsid w:val="00366642"/>
    <w:rsid w:val="003705DE"/>
    <w:rsid w:val="00370EAC"/>
    <w:rsid w:val="0037496E"/>
    <w:rsid w:val="003928FD"/>
    <w:rsid w:val="003A4FE9"/>
    <w:rsid w:val="003C5F3E"/>
    <w:rsid w:val="003C7A1D"/>
    <w:rsid w:val="003E156D"/>
    <w:rsid w:val="00425484"/>
    <w:rsid w:val="00436AE9"/>
    <w:rsid w:val="0044492C"/>
    <w:rsid w:val="004456AF"/>
    <w:rsid w:val="00450B8C"/>
    <w:rsid w:val="004547D3"/>
    <w:rsid w:val="00454897"/>
    <w:rsid w:val="00455322"/>
    <w:rsid w:val="0045653B"/>
    <w:rsid w:val="00475AB4"/>
    <w:rsid w:val="00476627"/>
    <w:rsid w:val="00493421"/>
    <w:rsid w:val="004A25AB"/>
    <w:rsid w:val="004A38B8"/>
    <w:rsid w:val="004A72B7"/>
    <w:rsid w:val="004C00D7"/>
    <w:rsid w:val="004C7A75"/>
    <w:rsid w:val="004E7FAE"/>
    <w:rsid w:val="004F1F99"/>
    <w:rsid w:val="00507EDE"/>
    <w:rsid w:val="00510036"/>
    <w:rsid w:val="005125FF"/>
    <w:rsid w:val="00517630"/>
    <w:rsid w:val="00521806"/>
    <w:rsid w:val="00566DB4"/>
    <w:rsid w:val="00571474"/>
    <w:rsid w:val="00574998"/>
    <w:rsid w:val="00582800"/>
    <w:rsid w:val="0058401D"/>
    <w:rsid w:val="00585977"/>
    <w:rsid w:val="005A40CB"/>
    <w:rsid w:val="005A4E46"/>
    <w:rsid w:val="005C3012"/>
    <w:rsid w:val="005C5524"/>
    <w:rsid w:val="005D7DFF"/>
    <w:rsid w:val="00637441"/>
    <w:rsid w:val="00692A9E"/>
    <w:rsid w:val="006D38DE"/>
    <w:rsid w:val="006D52AC"/>
    <w:rsid w:val="00707472"/>
    <w:rsid w:val="007158B5"/>
    <w:rsid w:val="00716F76"/>
    <w:rsid w:val="00733CC4"/>
    <w:rsid w:val="00751AB6"/>
    <w:rsid w:val="00763381"/>
    <w:rsid w:val="00792684"/>
    <w:rsid w:val="00792E7B"/>
    <w:rsid w:val="0079567C"/>
    <w:rsid w:val="007A46E8"/>
    <w:rsid w:val="007A7232"/>
    <w:rsid w:val="007B0D49"/>
    <w:rsid w:val="007B4F27"/>
    <w:rsid w:val="007C3E75"/>
    <w:rsid w:val="007D0A19"/>
    <w:rsid w:val="007E4EA2"/>
    <w:rsid w:val="007F0672"/>
    <w:rsid w:val="0080633A"/>
    <w:rsid w:val="0081324D"/>
    <w:rsid w:val="008139AF"/>
    <w:rsid w:val="0082677E"/>
    <w:rsid w:val="00836F7D"/>
    <w:rsid w:val="00843E75"/>
    <w:rsid w:val="00856162"/>
    <w:rsid w:val="00860EE3"/>
    <w:rsid w:val="00870AEE"/>
    <w:rsid w:val="008B277A"/>
    <w:rsid w:val="008F5BB3"/>
    <w:rsid w:val="00904DC1"/>
    <w:rsid w:val="00910AE7"/>
    <w:rsid w:val="00910D26"/>
    <w:rsid w:val="00935853"/>
    <w:rsid w:val="00936E37"/>
    <w:rsid w:val="009433D4"/>
    <w:rsid w:val="009449B8"/>
    <w:rsid w:val="009531E5"/>
    <w:rsid w:val="009914A6"/>
    <w:rsid w:val="00996225"/>
    <w:rsid w:val="009A3550"/>
    <w:rsid w:val="009A5603"/>
    <w:rsid w:val="009B58C9"/>
    <w:rsid w:val="009C6BFE"/>
    <w:rsid w:val="009E4D40"/>
    <w:rsid w:val="00A1242E"/>
    <w:rsid w:val="00A46EF9"/>
    <w:rsid w:val="00A603DE"/>
    <w:rsid w:val="00A627C0"/>
    <w:rsid w:val="00A74FA1"/>
    <w:rsid w:val="00A75707"/>
    <w:rsid w:val="00AB0FDC"/>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27D87"/>
    <w:rsid w:val="00B310BC"/>
    <w:rsid w:val="00B35349"/>
    <w:rsid w:val="00B462D2"/>
    <w:rsid w:val="00B54F62"/>
    <w:rsid w:val="00B7597B"/>
    <w:rsid w:val="00B82FB3"/>
    <w:rsid w:val="00B84D78"/>
    <w:rsid w:val="00BB245F"/>
    <w:rsid w:val="00BC0845"/>
    <w:rsid w:val="00BF0214"/>
    <w:rsid w:val="00C20724"/>
    <w:rsid w:val="00C7058C"/>
    <w:rsid w:val="00C849C8"/>
    <w:rsid w:val="00CA17E0"/>
    <w:rsid w:val="00CA7CD3"/>
    <w:rsid w:val="00CC2308"/>
    <w:rsid w:val="00CD3897"/>
    <w:rsid w:val="00CD4A21"/>
    <w:rsid w:val="00CE0F7E"/>
    <w:rsid w:val="00CE3BB6"/>
    <w:rsid w:val="00CF13E1"/>
    <w:rsid w:val="00D00948"/>
    <w:rsid w:val="00D117C4"/>
    <w:rsid w:val="00D13015"/>
    <w:rsid w:val="00D161B4"/>
    <w:rsid w:val="00D3466D"/>
    <w:rsid w:val="00D60C5F"/>
    <w:rsid w:val="00D623DA"/>
    <w:rsid w:val="00D801A5"/>
    <w:rsid w:val="00D83452"/>
    <w:rsid w:val="00D8373E"/>
    <w:rsid w:val="00D90F1F"/>
    <w:rsid w:val="00D921B3"/>
    <w:rsid w:val="00DA2C1C"/>
    <w:rsid w:val="00DA5A2A"/>
    <w:rsid w:val="00DA72DE"/>
    <w:rsid w:val="00DC024E"/>
    <w:rsid w:val="00DE33D4"/>
    <w:rsid w:val="00E075A0"/>
    <w:rsid w:val="00E244FC"/>
    <w:rsid w:val="00E34E09"/>
    <w:rsid w:val="00E476A7"/>
    <w:rsid w:val="00E52761"/>
    <w:rsid w:val="00E70E50"/>
    <w:rsid w:val="00E7260C"/>
    <w:rsid w:val="00EA1AAA"/>
    <w:rsid w:val="00EA2D40"/>
    <w:rsid w:val="00EC1689"/>
    <w:rsid w:val="00ED7FB9"/>
    <w:rsid w:val="00F255A2"/>
    <w:rsid w:val="00F35F07"/>
    <w:rsid w:val="00F40124"/>
    <w:rsid w:val="00F564B0"/>
    <w:rsid w:val="00F748BE"/>
    <w:rsid w:val="00F75149"/>
    <w:rsid w:val="00F921EC"/>
    <w:rsid w:val="00FA62AB"/>
    <w:rsid w:val="00FB4BBE"/>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9A3550"/>
    <w:pPr>
      <w:autoSpaceDE w:val="0"/>
      <w:autoSpaceDN w:val="0"/>
      <w:adjustRightInd w:val="0"/>
      <w:spacing w:after="0" w:line="240" w:lineRule="auto"/>
      <w:jc w:val="left"/>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5481">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59535283">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991317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26018889">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18183">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meda.peralta.edu/wp-content/uploads/2019/06/CoA-equity-exec-summary-6.2019.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BE43EE2F-FE9C-429F-B97D-266087BBCA06}">
  <ds:schemaRefs>
    <ds:schemaRef ds:uri="http://schemas.openxmlformats.org/officeDocument/2006/bibliography"/>
  </ds:schemaRefs>
</ds:datastoreItem>
</file>

<file path=customXml/itemProps2.xml><?xml version="1.0" encoding="utf-8"?>
<ds:datastoreItem xmlns:ds="http://schemas.openxmlformats.org/officeDocument/2006/customXml" ds:itemID="{4CDECF64-5B8A-45B4-A6A1-BF61E692F206}"/>
</file>

<file path=customXml/itemProps3.xml><?xml version="1.0" encoding="utf-8"?>
<ds:datastoreItem xmlns:ds="http://schemas.openxmlformats.org/officeDocument/2006/customXml" ds:itemID="{8B00478C-8B2B-41EB-8F5C-E53D9BAED12C}"/>
</file>

<file path=customXml/itemProps4.xml><?xml version="1.0" encoding="utf-8"?>
<ds:datastoreItem xmlns:ds="http://schemas.openxmlformats.org/officeDocument/2006/customXml" ds:itemID="{5C9B354F-E521-4E77-BD51-84BAD2642AF6}"/>
</file>

<file path=docProps/app.xml><?xml version="1.0" encoding="utf-8"?>
<Properties xmlns="http://schemas.openxmlformats.org/officeDocument/2006/extended-properties" xmlns:vt="http://schemas.openxmlformats.org/officeDocument/2006/docPropsVTypes">
  <Template>Normal.dotm</Template>
  <TotalTime>2</TotalTime>
  <Pages>7</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Jamar Mears</cp:lastModifiedBy>
  <cp:revision>2</cp:revision>
  <dcterms:created xsi:type="dcterms:W3CDTF">2022-11-17T03:02:00Z</dcterms:created>
  <dcterms:modified xsi:type="dcterms:W3CDTF">2022-11-17T03:02:00Z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