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757B7" w14:textId="20B1981A" w:rsidR="002B17CC" w:rsidRDefault="00121132" w:rsidP="002B17CC">
      <w:r>
        <w:t>In the spirit of Administrative Procedure 71</w:t>
      </w:r>
      <w:r w:rsidR="007355F0">
        <w:t>21</w:t>
      </w:r>
      <w:r>
        <w:t xml:space="preserve"> (</w:t>
      </w:r>
      <w:hyperlink r:id="rId7" w:history="1">
        <w:r w:rsidRPr="004F15AF">
          <w:rPr>
            <w:rStyle w:val="Hyperlink"/>
          </w:rPr>
          <w:t>https://web.peralta.edu/hr/files/2012/08/AP-7121-Faculty-Hiring.pdf</w:t>
        </w:r>
      </w:hyperlink>
      <w:r>
        <w:t>) t</w:t>
      </w:r>
      <w:r w:rsidR="002B17CC">
        <w:t xml:space="preserve">he following process </w:t>
      </w:r>
      <w:r>
        <w:t xml:space="preserve">for faculty prioritization </w:t>
      </w:r>
      <w:r w:rsidR="002B17CC">
        <w:t>will be used</w:t>
      </w:r>
      <w:r w:rsidR="001A1FBF">
        <w:t>:</w:t>
      </w:r>
    </w:p>
    <w:p w14:paraId="79BD4FB2" w14:textId="501C074C" w:rsidR="001A1FBF" w:rsidRDefault="001A1FBF" w:rsidP="001A1FBF">
      <w:pPr>
        <w:pStyle w:val="ListParagraph"/>
        <w:numPr>
          <w:ilvl w:val="0"/>
          <w:numId w:val="3"/>
        </w:numPr>
      </w:pPr>
      <w:r>
        <w:t xml:space="preserve">Departments submit a request as part of their program review/annual planning update. Departments who submitted a request by the given due date </w:t>
      </w:r>
      <w:r w:rsidR="00217620">
        <w:t xml:space="preserve">are </w:t>
      </w:r>
      <w:r>
        <w:t>considered for vote.</w:t>
      </w:r>
      <w:r w:rsidR="00785416">
        <w:t xml:space="preserve"> </w:t>
      </w:r>
      <w:r w:rsidR="004C5C8D">
        <w:t>Below are the metrics used previously by the president of the college to determine faculty prioritization.</w:t>
      </w:r>
    </w:p>
    <w:p w14:paraId="5AC32147" w14:textId="77777777" w:rsidR="00121132" w:rsidRDefault="00121132" w:rsidP="0012113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25"/>
        <w:gridCol w:w="2605"/>
      </w:tblGrid>
      <w:tr w:rsidR="004C5C8D" w:rsidRPr="004C5C8D" w14:paraId="13A36582" w14:textId="77777777" w:rsidTr="004C5C8D">
        <w:tc>
          <w:tcPr>
            <w:tcW w:w="6025" w:type="dxa"/>
          </w:tcPr>
          <w:p w14:paraId="730A5152" w14:textId="7307675A" w:rsidR="00121132" w:rsidRPr="004C5C8D" w:rsidRDefault="00121132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2605" w:type="dxa"/>
          </w:tcPr>
          <w:p w14:paraId="6DDEB3C4" w14:textId="0AA065CD" w:rsidR="00121132" w:rsidRPr="004C5C8D" w:rsidRDefault="00121132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Metric</w:t>
            </w:r>
          </w:p>
        </w:tc>
      </w:tr>
      <w:tr w:rsidR="004C5C8D" w:rsidRPr="004C5C8D" w14:paraId="6ECA233C" w14:textId="77777777" w:rsidTr="004C5C8D">
        <w:tc>
          <w:tcPr>
            <w:tcW w:w="6025" w:type="dxa"/>
          </w:tcPr>
          <w:p w14:paraId="7E79F714" w14:textId="158DE6AE" w:rsidR="00121132" w:rsidRPr="004C5C8D" w:rsidRDefault="00121132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Department enrollment trends over 5 years</w:t>
            </w:r>
          </w:p>
        </w:tc>
        <w:tc>
          <w:tcPr>
            <w:tcW w:w="2605" w:type="dxa"/>
          </w:tcPr>
          <w:p w14:paraId="7C69BF5D" w14:textId="77777777" w:rsidR="00121132" w:rsidRPr="004C5C8D" w:rsidRDefault="00121132" w:rsidP="001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  <w:p w14:paraId="7FDF3B88" w14:textId="77777777" w:rsidR="00121132" w:rsidRPr="004C5C8D" w:rsidRDefault="00121132" w:rsidP="001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Flat</w:t>
            </w:r>
          </w:p>
          <w:p w14:paraId="2808A5B7" w14:textId="31FBCE36" w:rsidR="00121132" w:rsidRPr="004C5C8D" w:rsidRDefault="00121132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Decrease</w:t>
            </w:r>
          </w:p>
        </w:tc>
      </w:tr>
      <w:tr w:rsidR="004C5C8D" w:rsidRPr="004C5C8D" w14:paraId="78102999" w14:textId="77777777" w:rsidTr="004C5C8D">
        <w:tc>
          <w:tcPr>
            <w:tcW w:w="6025" w:type="dxa"/>
          </w:tcPr>
          <w:p w14:paraId="5BB6B91E" w14:textId="2F44A5AB" w:rsidR="00121132" w:rsidRPr="004C5C8D" w:rsidRDefault="00121132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State or Federal regulations</w:t>
            </w:r>
          </w:p>
        </w:tc>
        <w:tc>
          <w:tcPr>
            <w:tcW w:w="2605" w:type="dxa"/>
          </w:tcPr>
          <w:p w14:paraId="33FA0044" w14:textId="77777777" w:rsidR="00121132" w:rsidRPr="004C5C8D" w:rsidRDefault="00121132" w:rsidP="001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18E911E3" w14:textId="77777777" w:rsidR="00121132" w:rsidRPr="004C5C8D" w:rsidRDefault="00121132" w:rsidP="001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0BE8ABB6" w14:textId="77777777" w:rsidR="00121132" w:rsidRPr="004C5C8D" w:rsidRDefault="00121132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8D" w:rsidRPr="004C5C8D" w14:paraId="13AA7478" w14:textId="77777777" w:rsidTr="004C5C8D">
        <w:tc>
          <w:tcPr>
            <w:tcW w:w="6025" w:type="dxa"/>
          </w:tcPr>
          <w:p w14:paraId="1F18D389" w14:textId="11FD8C51" w:rsidR="00121132" w:rsidRPr="004C5C8D" w:rsidRDefault="00121132" w:rsidP="001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Program-specific accreditation or licensure requirements</w:t>
            </w:r>
          </w:p>
        </w:tc>
        <w:tc>
          <w:tcPr>
            <w:tcW w:w="2605" w:type="dxa"/>
          </w:tcPr>
          <w:p w14:paraId="276365F3" w14:textId="77777777" w:rsidR="00121132" w:rsidRPr="004C5C8D" w:rsidRDefault="00121132" w:rsidP="001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1677F97A" w14:textId="417F630E" w:rsidR="00121132" w:rsidRPr="004C5C8D" w:rsidRDefault="00121132" w:rsidP="001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C5C8D" w:rsidRPr="004C5C8D" w14:paraId="0A602986" w14:textId="77777777" w:rsidTr="004C5C8D">
        <w:tc>
          <w:tcPr>
            <w:tcW w:w="6025" w:type="dxa"/>
          </w:tcPr>
          <w:p w14:paraId="0D42ED73" w14:textId="24A4C019" w:rsidR="00121132" w:rsidRPr="004C5C8D" w:rsidRDefault="00121132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FT/PT FTEF ratio</w:t>
            </w:r>
          </w:p>
        </w:tc>
        <w:tc>
          <w:tcPr>
            <w:tcW w:w="2605" w:type="dxa"/>
          </w:tcPr>
          <w:p w14:paraId="6D882FCA" w14:textId="77777777" w:rsidR="00121132" w:rsidRPr="004C5C8D" w:rsidRDefault="00121132" w:rsidP="001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Above 75% FT FTEF</w:t>
            </w:r>
          </w:p>
          <w:p w14:paraId="1C9E3B84" w14:textId="77777777" w:rsidR="00121132" w:rsidRPr="004C5C8D" w:rsidRDefault="00121132" w:rsidP="001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74%-50% FT FTEF</w:t>
            </w:r>
          </w:p>
          <w:p w14:paraId="5B9BFDB0" w14:textId="7D5DF66A" w:rsidR="00121132" w:rsidRPr="004C5C8D" w:rsidRDefault="00121132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Below 49% FT FTEF</w:t>
            </w:r>
          </w:p>
        </w:tc>
      </w:tr>
      <w:tr w:rsidR="004C5C8D" w:rsidRPr="004C5C8D" w14:paraId="4C1293BC" w14:textId="77777777" w:rsidTr="004C5C8D">
        <w:tc>
          <w:tcPr>
            <w:tcW w:w="6025" w:type="dxa"/>
          </w:tcPr>
          <w:p w14:paraId="2625B254" w14:textId="797BE5BF" w:rsidR="00121132" w:rsidRPr="004C5C8D" w:rsidRDefault="00121132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17.5 Productivity</w:t>
            </w:r>
          </w:p>
        </w:tc>
        <w:tc>
          <w:tcPr>
            <w:tcW w:w="2605" w:type="dxa"/>
          </w:tcPr>
          <w:p w14:paraId="4D4799EC" w14:textId="77777777" w:rsidR="00121132" w:rsidRPr="004C5C8D" w:rsidRDefault="00121132" w:rsidP="001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Above</w:t>
            </w:r>
          </w:p>
          <w:p w14:paraId="0F370048" w14:textId="5138639B" w:rsidR="00121132" w:rsidRPr="004C5C8D" w:rsidRDefault="00121132" w:rsidP="0012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</w:p>
        </w:tc>
      </w:tr>
      <w:tr w:rsidR="004C5C8D" w:rsidRPr="004C5C8D" w14:paraId="3626AB95" w14:textId="77777777" w:rsidTr="004C5C8D">
        <w:tc>
          <w:tcPr>
            <w:tcW w:w="6025" w:type="dxa"/>
          </w:tcPr>
          <w:p w14:paraId="7FBA7B5E" w14:textId="17CCB7BD" w:rsidR="00121132" w:rsidRPr="004C5C8D" w:rsidRDefault="00121132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Productivity trend over 5 years</w:t>
            </w:r>
          </w:p>
        </w:tc>
        <w:tc>
          <w:tcPr>
            <w:tcW w:w="2605" w:type="dxa"/>
          </w:tcPr>
          <w:p w14:paraId="2446DC89" w14:textId="77777777" w:rsidR="004C5C8D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  <w:p w14:paraId="4D8728D1" w14:textId="77777777" w:rsidR="004C5C8D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Flat</w:t>
            </w:r>
          </w:p>
          <w:p w14:paraId="301BD0D1" w14:textId="5535CAD7" w:rsidR="00121132" w:rsidRPr="004C5C8D" w:rsidRDefault="004C5C8D" w:rsidP="004C5C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Decrease</w:t>
            </w:r>
          </w:p>
        </w:tc>
      </w:tr>
      <w:tr w:rsidR="004C5C8D" w:rsidRPr="004C5C8D" w14:paraId="38B8BBB2" w14:textId="77777777" w:rsidTr="004C5C8D">
        <w:tc>
          <w:tcPr>
            <w:tcW w:w="6025" w:type="dxa"/>
          </w:tcPr>
          <w:p w14:paraId="0E651AF8" w14:textId="00830B5F" w:rsidR="00121132" w:rsidRPr="004C5C8D" w:rsidRDefault="004C5C8D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 xml:space="preserve">Curriculum (updated within last 3 </w:t>
            </w:r>
            <w:proofErr w:type="spellStart"/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5" w:type="dxa"/>
          </w:tcPr>
          <w:p w14:paraId="55A2A6E2" w14:textId="77777777" w:rsidR="004C5C8D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57C842D5" w14:textId="5BE90D5B" w:rsidR="00121132" w:rsidRPr="004C5C8D" w:rsidRDefault="004C5C8D" w:rsidP="004C5C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C5C8D" w:rsidRPr="004C5C8D" w14:paraId="491C6164" w14:textId="77777777" w:rsidTr="004C5C8D">
        <w:tc>
          <w:tcPr>
            <w:tcW w:w="6025" w:type="dxa"/>
          </w:tcPr>
          <w:p w14:paraId="61612097" w14:textId="49C968FB" w:rsidR="00121132" w:rsidRPr="004C5C8D" w:rsidRDefault="004C5C8D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Degree Awarded over 5 years</w:t>
            </w:r>
          </w:p>
        </w:tc>
        <w:tc>
          <w:tcPr>
            <w:tcW w:w="2605" w:type="dxa"/>
          </w:tcPr>
          <w:p w14:paraId="2788666B" w14:textId="77777777" w:rsidR="004C5C8D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  <w:p w14:paraId="36CDE94B" w14:textId="77777777" w:rsidR="004C5C8D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Flat</w:t>
            </w:r>
          </w:p>
          <w:p w14:paraId="662C35E4" w14:textId="147BB498" w:rsidR="00121132" w:rsidRPr="004C5C8D" w:rsidRDefault="004C5C8D" w:rsidP="004C5C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Decrease</w:t>
            </w:r>
          </w:p>
        </w:tc>
      </w:tr>
      <w:tr w:rsidR="004C5C8D" w:rsidRPr="004C5C8D" w14:paraId="4FA5D9E3" w14:textId="77777777" w:rsidTr="004C5C8D">
        <w:tc>
          <w:tcPr>
            <w:tcW w:w="6025" w:type="dxa"/>
          </w:tcPr>
          <w:p w14:paraId="129CA627" w14:textId="28F195C3" w:rsidR="00121132" w:rsidRPr="004C5C8D" w:rsidRDefault="004C5C8D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Certificate Awarded over 5 years</w:t>
            </w:r>
          </w:p>
        </w:tc>
        <w:tc>
          <w:tcPr>
            <w:tcW w:w="2605" w:type="dxa"/>
          </w:tcPr>
          <w:p w14:paraId="2FCC5BF4" w14:textId="77777777" w:rsidR="004C5C8D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</w:p>
          <w:p w14:paraId="4DF06D1E" w14:textId="77777777" w:rsidR="004C5C8D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Flat</w:t>
            </w:r>
          </w:p>
          <w:p w14:paraId="1E9EDD8B" w14:textId="1B96EAB2" w:rsidR="00121132" w:rsidRPr="004C5C8D" w:rsidRDefault="004C5C8D" w:rsidP="004C5C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Decrease</w:t>
            </w:r>
          </w:p>
        </w:tc>
      </w:tr>
      <w:tr w:rsidR="004C5C8D" w:rsidRPr="004C5C8D" w14:paraId="1F96565C" w14:textId="77777777" w:rsidTr="004C5C8D">
        <w:tc>
          <w:tcPr>
            <w:tcW w:w="6025" w:type="dxa"/>
          </w:tcPr>
          <w:p w14:paraId="517C7D06" w14:textId="40E3A077" w:rsidR="00121132" w:rsidRPr="004C5C8D" w:rsidRDefault="004C5C8D" w:rsidP="0012113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Course(s) in GE Pattern</w:t>
            </w:r>
          </w:p>
        </w:tc>
        <w:tc>
          <w:tcPr>
            <w:tcW w:w="2605" w:type="dxa"/>
          </w:tcPr>
          <w:p w14:paraId="283A2B12" w14:textId="77777777" w:rsidR="004C5C8D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2FD52918" w14:textId="73D150EE" w:rsidR="00121132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4C5C8D" w:rsidRPr="004C5C8D" w14:paraId="51C85AA1" w14:textId="77777777" w:rsidTr="004C5C8D">
        <w:tc>
          <w:tcPr>
            <w:tcW w:w="6025" w:type="dxa"/>
          </w:tcPr>
          <w:p w14:paraId="04913BD0" w14:textId="763CA1EA" w:rsidR="00121132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 xml:space="preserve">Department Active in College Initiatives/Partnerships (BSI, Equity, OER, </w:t>
            </w:r>
            <w:proofErr w:type="spellStart"/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MakerSpace</w:t>
            </w:r>
            <w:proofErr w:type="spellEnd"/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, ASCOA, Outreach Events, etc.)</w:t>
            </w:r>
          </w:p>
        </w:tc>
        <w:tc>
          <w:tcPr>
            <w:tcW w:w="2605" w:type="dxa"/>
          </w:tcPr>
          <w:p w14:paraId="5972CB3D" w14:textId="77777777" w:rsidR="004C5C8D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52B05561" w14:textId="55BAA178" w:rsidR="00121132" w:rsidRPr="004C5C8D" w:rsidRDefault="004C5C8D" w:rsidP="004C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8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08899866" w14:textId="507E4613" w:rsidR="00121132" w:rsidRDefault="00121132" w:rsidP="00121132">
      <w:pPr>
        <w:pStyle w:val="ListParagraph"/>
      </w:pPr>
    </w:p>
    <w:p w14:paraId="0DAF4C05" w14:textId="333CD325" w:rsidR="00121132" w:rsidRDefault="00121132" w:rsidP="00121132">
      <w:pPr>
        <w:pStyle w:val="ListParagraph"/>
      </w:pPr>
    </w:p>
    <w:p w14:paraId="548CDF41" w14:textId="77A77032" w:rsidR="00121132" w:rsidRDefault="00121132" w:rsidP="00121132">
      <w:pPr>
        <w:pStyle w:val="ListParagraph"/>
      </w:pPr>
    </w:p>
    <w:p w14:paraId="7BFD737D" w14:textId="0CF4AAE9" w:rsidR="00BB6AA2" w:rsidRDefault="00BB6AA2" w:rsidP="001A1FBF">
      <w:pPr>
        <w:pStyle w:val="ListParagraph"/>
        <w:numPr>
          <w:ilvl w:val="0"/>
          <w:numId w:val="3"/>
        </w:numPr>
      </w:pPr>
      <w:r>
        <w:lastRenderedPageBreak/>
        <w:t xml:space="preserve">Requests are published for voters to read prior to filling out the ballot. </w:t>
      </w:r>
      <w:r w:rsidR="00E77457">
        <w:t xml:space="preserve">There will be a joint Chairs/Senate meeting where requestors can make a maximum of </w:t>
      </w:r>
      <w:r w:rsidR="007A6ADF">
        <w:t>3-minute verbal/oral p</w:t>
      </w:r>
      <w:r>
        <w:t xml:space="preserve">resentations. </w:t>
      </w:r>
      <w:r w:rsidR="007A6ADF">
        <w:t xml:space="preserve">If </w:t>
      </w:r>
      <w:r w:rsidR="00E77457">
        <w:t xml:space="preserve">a requestor </w:t>
      </w:r>
      <w:r w:rsidR="007A6ADF">
        <w:t>can</w:t>
      </w:r>
      <w:r w:rsidR="00E77457">
        <w:t>’t</w:t>
      </w:r>
      <w:r w:rsidR="007A6ADF">
        <w:t xml:space="preserve"> make </w:t>
      </w:r>
      <w:r w:rsidR="00E77457">
        <w:t>the meeting</w:t>
      </w:r>
      <w:r w:rsidR="007A6ADF">
        <w:t xml:space="preserve">, </w:t>
      </w:r>
      <w:r w:rsidR="007C3DC4">
        <w:t xml:space="preserve">they will </w:t>
      </w:r>
      <w:r w:rsidR="007A6ADF">
        <w:t xml:space="preserve">create a YouTube video </w:t>
      </w:r>
      <w:r w:rsidR="00E77457">
        <w:t xml:space="preserve">of no more than 3 minutes and </w:t>
      </w:r>
      <w:r w:rsidR="007A6ADF">
        <w:t xml:space="preserve">have a representative </w:t>
      </w:r>
      <w:r w:rsidR="007C3DC4">
        <w:t xml:space="preserve">present </w:t>
      </w:r>
      <w:r w:rsidR="007A6ADF">
        <w:t xml:space="preserve">from the </w:t>
      </w:r>
      <w:r w:rsidR="00E77457">
        <w:t xml:space="preserve">requesting </w:t>
      </w:r>
      <w:r w:rsidR="007A6ADF">
        <w:t>department.</w:t>
      </w:r>
    </w:p>
    <w:p w14:paraId="69334A00" w14:textId="77777777" w:rsidR="00BB6AA2" w:rsidRDefault="00BB6AA2" w:rsidP="00995852">
      <w:pPr>
        <w:ind w:left="360"/>
      </w:pPr>
    </w:p>
    <w:p w14:paraId="27AAE716" w14:textId="30CF36F3" w:rsidR="001A1FBF" w:rsidRDefault="00E77457" w:rsidP="001A1FBF">
      <w:pPr>
        <w:pStyle w:val="ListParagraph"/>
        <w:numPr>
          <w:ilvl w:val="0"/>
          <w:numId w:val="3"/>
        </w:numPr>
      </w:pPr>
      <w:r>
        <w:t>Each v</w:t>
      </w:r>
      <w:r w:rsidR="00A70EE1">
        <w:t xml:space="preserve">oting party must be present. </w:t>
      </w:r>
      <w:r w:rsidR="001A1FBF">
        <w:t>Each department</w:t>
      </w:r>
      <w:r w:rsidR="007A6ADF">
        <w:t>/</w:t>
      </w:r>
      <w:r w:rsidR="001A1FBF">
        <w:t>cluster</w:t>
      </w:r>
      <w:r w:rsidR="007A6ADF">
        <w:t xml:space="preserve"> </w:t>
      </w:r>
      <w:r w:rsidR="001A1FBF">
        <w:t>ha</w:t>
      </w:r>
      <w:r w:rsidR="007A6ADF">
        <w:t>s</w:t>
      </w:r>
      <w:r w:rsidR="001A1FBF">
        <w:t xml:space="preserve"> one vote</w:t>
      </w:r>
      <w:r w:rsidR="00AB3EA6">
        <w:t xml:space="preserve">; </w:t>
      </w:r>
      <w:r>
        <w:t xml:space="preserve">we </w:t>
      </w:r>
      <w:r w:rsidR="00AB3EA6">
        <w:t>will revisit when a cluster reorg occurs</w:t>
      </w:r>
      <w:r w:rsidR="001A1FBF">
        <w:t xml:space="preserve">. </w:t>
      </w:r>
      <w:r w:rsidR="007C3DC4">
        <w:t>Department/c</w:t>
      </w:r>
      <w:r w:rsidR="001A1FBF">
        <w:t xml:space="preserve">lusters with more than one chair </w:t>
      </w:r>
      <w:r w:rsidR="007C3DC4">
        <w:t>must</w:t>
      </w:r>
      <w:r w:rsidR="001A1FBF">
        <w:t xml:space="preserve"> to come to consensus about the ranked voting</w:t>
      </w:r>
      <w:r w:rsidR="007C3DC4">
        <w:t xml:space="preserve"> and submit one collective vote</w:t>
      </w:r>
      <w:r w:rsidR="001A1FBF">
        <w:t>.</w:t>
      </w:r>
      <w:r w:rsidR="00785416">
        <w:t xml:space="preserve"> </w:t>
      </w:r>
      <w:r w:rsidR="007C3DC4">
        <w:t>Following, t</w:t>
      </w:r>
      <w:r>
        <w:t xml:space="preserve">he </w:t>
      </w:r>
      <w:r w:rsidR="007C3DC4">
        <w:t xml:space="preserve">Academic </w:t>
      </w:r>
      <w:r>
        <w:t>Senate will vote up or down the list</w:t>
      </w:r>
      <w:r w:rsidR="00BC56F5">
        <w:t>,</w:t>
      </w:r>
      <w:r>
        <w:t xml:space="preserve"> providing </w:t>
      </w:r>
      <w:r w:rsidR="00BC56F5">
        <w:t xml:space="preserve">justification </w:t>
      </w:r>
      <w:r>
        <w:t>for the president of the college to consider.</w:t>
      </w:r>
    </w:p>
    <w:p w14:paraId="4CE63549" w14:textId="0461582F" w:rsidR="00264CB9" w:rsidRDefault="00264CB9" w:rsidP="00264CB9">
      <w:r>
        <w:tab/>
      </w:r>
    </w:p>
    <w:p w14:paraId="28265496" w14:textId="5FF1B18C" w:rsidR="001A1FBF" w:rsidRDefault="001A1FBF" w:rsidP="001A1FBF">
      <w:pPr>
        <w:pStyle w:val="ListParagraph"/>
        <w:numPr>
          <w:ilvl w:val="0"/>
          <w:numId w:val="3"/>
        </w:numPr>
      </w:pPr>
      <w:r>
        <w:t xml:space="preserve">Ranked voting: of the </w:t>
      </w:r>
      <w:r w:rsidR="007C3DC4">
        <w:t xml:space="preserve">eligible </w:t>
      </w:r>
      <w:r>
        <w:t>requests, a ballot was created for each vote. Depending on the number of requests, each vote put a “1” next to their top choice for faculty prioritization, “2” next to their second choice, and so on</w:t>
      </w:r>
      <w:r w:rsidR="00E653D2">
        <w:t>,</w:t>
      </w:r>
      <w:r>
        <w:t xml:space="preserve"> until all </w:t>
      </w:r>
      <w:r w:rsidR="00E653D2">
        <w:t xml:space="preserve">eligible </w:t>
      </w:r>
      <w:r>
        <w:t>requests ha</w:t>
      </w:r>
      <w:r w:rsidR="00E653D2">
        <w:t>ve</w:t>
      </w:r>
      <w:r>
        <w:t xml:space="preserve"> a rank. The rankings are </w:t>
      </w:r>
      <w:proofErr w:type="gramStart"/>
      <w:r w:rsidR="00E653D2">
        <w:t>added</w:t>
      </w:r>
      <w:proofErr w:type="gramEnd"/>
      <w:r>
        <w:t xml:space="preserve"> and the lowest score indicated a highest ranking for choice in the faculty prioritization</w:t>
      </w:r>
      <w:r w:rsidR="00AB28D3">
        <w:t>.</w:t>
      </w:r>
    </w:p>
    <w:sectPr w:rsidR="001A1F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38A83" w14:textId="77777777" w:rsidR="002B5087" w:rsidRDefault="002B5087" w:rsidP="00041BAB">
      <w:pPr>
        <w:spacing w:after="0" w:line="240" w:lineRule="auto"/>
      </w:pPr>
      <w:r>
        <w:separator/>
      </w:r>
    </w:p>
  </w:endnote>
  <w:endnote w:type="continuationSeparator" w:id="0">
    <w:p w14:paraId="67C3DB58" w14:textId="77777777" w:rsidR="002B5087" w:rsidRDefault="002B5087" w:rsidP="0004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6E37" w14:textId="043C8471" w:rsidR="005510B5" w:rsidRDefault="005510B5">
    <w:pPr>
      <w:pStyle w:val="Footer"/>
    </w:pPr>
    <w:r>
      <w:t>Last Updated Fall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D39C" w14:textId="77777777" w:rsidR="002B5087" w:rsidRDefault="002B5087" w:rsidP="00041BAB">
      <w:pPr>
        <w:spacing w:after="0" w:line="240" w:lineRule="auto"/>
      </w:pPr>
      <w:r>
        <w:separator/>
      </w:r>
    </w:p>
  </w:footnote>
  <w:footnote w:type="continuationSeparator" w:id="0">
    <w:p w14:paraId="1A7A6516" w14:textId="77777777" w:rsidR="002B5087" w:rsidRDefault="002B5087" w:rsidP="0004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1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7"/>
      <w:gridCol w:w="8453"/>
    </w:tblGrid>
    <w:tr w:rsidR="00041BAB" w:rsidRPr="00AA1FAF" w14:paraId="64EAF556" w14:textId="77777777" w:rsidTr="006D385A">
      <w:tc>
        <w:tcPr>
          <w:tcW w:w="2257" w:type="dxa"/>
        </w:tcPr>
        <w:p w14:paraId="1BC23047" w14:textId="77777777" w:rsidR="00041BAB" w:rsidRPr="00AA1FAF" w:rsidRDefault="00041BAB" w:rsidP="00041BAB">
          <w:r w:rsidRPr="00AA1FAF">
            <w:rPr>
              <w:b/>
              <w:noProof/>
              <w:sz w:val="48"/>
              <w:szCs w:val="48"/>
            </w:rPr>
            <w:drawing>
              <wp:inline distT="0" distB="0" distL="0" distR="0" wp14:anchorId="31BB2702" wp14:editId="73D43E9B">
                <wp:extent cx="981075" cy="1274899"/>
                <wp:effectExtent l="0" t="0" r="0" b="1905"/>
                <wp:docPr id="1" name="Picture 1" descr="C:\Users\Vanson\Dropbox\Applications\2013 College of Alameda\CO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nson\Dropbox\Applications\2013 College of Alameda\COA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274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3" w:type="dxa"/>
        </w:tcPr>
        <w:p w14:paraId="03C2D369" w14:textId="77777777" w:rsidR="00041BAB" w:rsidRDefault="00041BAB" w:rsidP="00041BAB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Department Chairs</w:t>
          </w:r>
        </w:p>
        <w:p w14:paraId="64351EC9" w14:textId="65B52E3A" w:rsidR="00E77457" w:rsidRPr="005510B5" w:rsidRDefault="00041BAB" w:rsidP="005510B5">
          <w:pPr>
            <w:jc w:val="center"/>
            <w:rPr>
              <w:sz w:val="48"/>
              <w:szCs w:val="48"/>
            </w:rPr>
          </w:pPr>
          <w:r w:rsidRPr="00041BAB">
            <w:rPr>
              <w:sz w:val="48"/>
              <w:szCs w:val="48"/>
            </w:rPr>
            <w:t xml:space="preserve">Faculty Prioritization </w:t>
          </w:r>
          <w:r w:rsidR="005510B5">
            <w:rPr>
              <w:sz w:val="48"/>
              <w:szCs w:val="48"/>
            </w:rPr>
            <w:t>P</w:t>
          </w:r>
          <w:r w:rsidRPr="00041BAB">
            <w:rPr>
              <w:sz w:val="48"/>
              <w:szCs w:val="48"/>
            </w:rPr>
            <w:t>rocess</w:t>
          </w:r>
        </w:p>
      </w:tc>
    </w:tr>
  </w:tbl>
  <w:p w14:paraId="24D2C8CC" w14:textId="77777777" w:rsidR="00041BAB" w:rsidRDefault="0004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A5C91"/>
    <w:multiLevelType w:val="hybridMultilevel"/>
    <w:tmpl w:val="5ADE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C4983"/>
    <w:multiLevelType w:val="hybridMultilevel"/>
    <w:tmpl w:val="9AD0C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61F8F"/>
    <w:multiLevelType w:val="hybridMultilevel"/>
    <w:tmpl w:val="DF60EEFC"/>
    <w:lvl w:ilvl="0" w:tplc="46D4B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75411">
    <w:abstractNumId w:val="1"/>
  </w:num>
  <w:num w:numId="2" w16cid:durableId="1870217670">
    <w:abstractNumId w:val="0"/>
  </w:num>
  <w:num w:numId="3" w16cid:durableId="396561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1F"/>
    <w:rsid w:val="00026F01"/>
    <w:rsid w:val="00041BAB"/>
    <w:rsid w:val="000B05E3"/>
    <w:rsid w:val="00121132"/>
    <w:rsid w:val="0012581F"/>
    <w:rsid w:val="001A1FBF"/>
    <w:rsid w:val="00201EAE"/>
    <w:rsid w:val="00217620"/>
    <w:rsid w:val="00264CB9"/>
    <w:rsid w:val="002A4893"/>
    <w:rsid w:val="002B17CC"/>
    <w:rsid w:val="002B5087"/>
    <w:rsid w:val="003A144C"/>
    <w:rsid w:val="003F1D0C"/>
    <w:rsid w:val="004241FC"/>
    <w:rsid w:val="004C5C8D"/>
    <w:rsid w:val="005510B5"/>
    <w:rsid w:val="006D7038"/>
    <w:rsid w:val="007355F0"/>
    <w:rsid w:val="00785416"/>
    <w:rsid w:val="007939A4"/>
    <w:rsid w:val="007A6ADF"/>
    <w:rsid w:val="007C3DC4"/>
    <w:rsid w:val="008B662C"/>
    <w:rsid w:val="00995852"/>
    <w:rsid w:val="009E5214"/>
    <w:rsid w:val="00A701C3"/>
    <w:rsid w:val="00A70EE1"/>
    <w:rsid w:val="00AB28D3"/>
    <w:rsid w:val="00AB3EA6"/>
    <w:rsid w:val="00B6607E"/>
    <w:rsid w:val="00BB6AA2"/>
    <w:rsid w:val="00BC56F5"/>
    <w:rsid w:val="00CF312F"/>
    <w:rsid w:val="00D12C3F"/>
    <w:rsid w:val="00E646D2"/>
    <w:rsid w:val="00E653D2"/>
    <w:rsid w:val="00E752C3"/>
    <w:rsid w:val="00E77457"/>
    <w:rsid w:val="00EE5A82"/>
    <w:rsid w:val="00F724FC"/>
    <w:rsid w:val="00F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FE76"/>
  <w15:chartTrackingRefBased/>
  <w15:docId w15:val="{EA63E58D-E7FC-4A92-B3EC-E642BBD5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AB"/>
  </w:style>
  <w:style w:type="paragraph" w:styleId="Footer">
    <w:name w:val="footer"/>
    <w:basedOn w:val="Normal"/>
    <w:link w:val="FooterChar"/>
    <w:uiPriority w:val="99"/>
    <w:unhideWhenUsed/>
    <w:rsid w:val="00041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AB"/>
  </w:style>
  <w:style w:type="table" w:styleId="TableGrid">
    <w:name w:val="Table Grid"/>
    <w:basedOn w:val="TableNormal"/>
    <w:uiPriority w:val="59"/>
    <w:rsid w:val="00041BAB"/>
    <w:pPr>
      <w:spacing w:after="0" w:line="240" w:lineRule="auto"/>
    </w:pPr>
    <w:rPr>
      <w:rFonts w:ascii="Cambria" w:hAnsi="Cambria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.peralta.edu/hr/files/2012/08/AP-7121-Faculty-Hir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COAFaculty</dc:creator>
  <cp:keywords/>
  <dc:description/>
  <cp:lastModifiedBy>Jennifer Fowler</cp:lastModifiedBy>
  <cp:revision>2</cp:revision>
  <dcterms:created xsi:type="dcterms:W3CDTF">2024-10-09T15:28:00Z</dcterms:created>
  <dcterms:modified xsi:type="dcterms:W3CDTF">2024-10-09T15:28:00Z</dcterms:modified>
</cp:coreProperties>
</file>